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F90A7" w14:textId="1B1980F9" w:rsidR="00D32058" w:rsidRDefault="005B09DB" w:rsidP="00D32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56"/>
          <w:szCs w:val="56"/>
        </w:rPr>
      </w:pPr>
      <w:r>
        <w:rPr>
          <w:sz w:val="36"/>
          <w:szCs w:val="36"/>
        </w:rPr>
        <w:t xml:space="preserve">                       </w:t>
      </w:r>
      <w:r w:rsidRPr="005B09DB">
        <w:rPr>
          <w:sz w:val="36"/>
          <w:szCs w:val="36"/>
        </w:rPr>
        <w:t xml:space="preserve">Retirado do </w:t>
      </w:r>
      <w:r w:rsidR="00D32058" w:rsidRPr="00D32058">
        <w:rPr>
          <w:sz w:val="56"/>
          <w:szCs w:val="56"/>
        </w:rPr>
        <w:t>Site da ASAE</w:t>
      </w:r>
    </w:p>
    <w:p w14:paraId="4B889AEA" w14:textId="77777777" w:rsidR="00D32058" w:rsidRDefault="00D32058"/>
    <w:p w14:paraId="0920558F" w14:textId="703B21E9" w:rsidR="00B909E7" w:rsidRDefault="005B09DB" w:rsidP="00D32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5" w:history="1">
        <w:r w:rsidR="00D32058" w:rsidRPr="0091641B">
          <w:rPr>
            <w:rStyle w:val="Hiperligao"/>
          </w:rPr>
          <w:t>https://www.asae.gov.pt/noticias-/noticias-on-line-2015/apreensao-no-concelho-da-lourinha.aspx</w:t>
        </w:r>
      </w:hyperlink>
    </w:p>
    <w:p w14:paraId="0BA6C11C" w14:textId="77777777" w:rsidR="00D32058" w:rsidRPr="00D32058" w:rsidRDefault="00D32058" w:rsidP="00D32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00" w:after="150" w:line="240" w:lineRule="auto"/>
        <w:outlineLvl w:val="2"/>
        <w:rPr>
          <w:rFonts w:ascii="Lato" w:eastAsia="Times New Roman" w:hAnsi="Lato" w:cs="Times New Roman"/>
          <w:b/>
          <w:bCs/>
          <w:color w:val="000000"/>
          <w:sz w:val="38"/>
          <w:szCs w:val="40"/>
          <w:lang w:eastAsia="pt-PT"/>
        </w:rPr>
      </w:pPr>
      <w:r w:rsidRPr="00D32058">
        <w:rPr>
          <w:rFonts w:ascii="Lato" w:eastAsia="Times New Roman" w:hAnsi="Lato" w:cs="Times New Roman"/>
          <w:b/>
          <w:bCs/>
          <w:color w:val="000000"/>
          <w:sz w:val="38"/>
          <w:szCs w:val="40"/>
          <w:lang w:eastAsia="pt-PT"/>
        </w:rPr>
        <w:t>Apreensão no concelho da Lourinhã</w:t>
      </w:r>
    </w:p>
    <w:p w14:paraId="174B001A" w14:textId="6387558E" w:rsidR="00D32058" w:rsidRPr="00D32058" w:rsidRDefault="00D32058" w:rsidP="00D32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000000"/>
          <w:sz w:val="27"/>
          <w:szCs w:val="28"/>
          <w:lang w:eastAsia="pt-PT"/>
        </w:rPr>
      </w:pPr>
      <w:r w:rsidRPr="00D32058">
        <w:rPr>
          <w:rFonts w:ascii="Lato" w:eastAsia="Times New Roman" w:hAnsi="Lato" w:cs="Times New Roman"/>
          <w:b/>
          <w:bCs/>
          <w:color w:val="000000"/>
          <w:sz w:val="21"/>
          <w:szCs w:val="21"/>
          <w:lang w:eastAsia="pt-PT"/>
        </w:rPr>
        <w:br/>
      </w:r>
      <w:r w:rsidRPr="00D32058">
        <w:rPr>
          <w:rFonts w:ascii="Lato" w:eastAsia="Times New Roman" w:hAnsi="Lato" w:cs="Times New Roman"/>
          <w:b/>
          <w:bCs/>
          <w:color w:val="000000"/>
          <w:sz w:val="27"/>
          <w:szCs w:val="28"/>
          <w:lang w:eastAsia="pt-PT"/>
        </w:rPr>
        <w:t>02-06-2015</w:t>
      </w:r>
      <w:r w:rsidRPr="00D32058">
        <w:rPr>
          <w:rFonts w:ascii="Lato" w:eastAsia="Times New Roman" w:hAnsi="Lato" w:cs="Times New Roman"/>
          <w:color w:val="000000"/>
          <w:sz w:val="27"/>
          <w:szCs w:val="28"/>
          <w:lang w:eastAsia="pt-PT"/>
        </w:rPr>
        <w:t>- Lourinhã – Instaurados dois processos-crime, por violação à lei da droga (estupefaciente) e comércio de produtos suspeitos de conterem cannabis, com apreensão de 85 embalagem de incensos no valor de €80,00, em dois estabelecimentos retalhistas.</w:t>
      </w:r>
    </w:p>
    <w:p w14:paraId="59EA21BE" w14:textId="17084EF3" w:rsidR="00D32058" w:rsidRDefault="00D32058" w:rsidP="00D32058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000000"/>
          <w:sz w:val="21"/>
          <w:szCs w:val="21"/>
          <w:lang w:eastAsia="pt-PT"/>
        </w:rPr>
      </w:pPr>
    </w:p>
    <w:p w14:paraId="5DD6A18B" w14:textId="2788F0E8" w:rsidR="00497F44" w:rsidRPr="00497F44" w:rsidRDefault="00497F44" w:rsidP="00497F4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00" w:after="150"/>
        <w:rPr>
          <w:rFonts w:ascii="Lato" w:hAnsi="Lato"/>
          <w:color w:val="000000"/>
          <w:sz w:val="35"/>
          <w:szCs w:val="35"/>
        </w:rPr>
      </w:pPr>
      <w:r>
        <w:rPr>
          <w:rFonts w:ascii="Lato" w:hAnsi="Lato"/>
          <w:b/>
          <w:bCs/>
          <w:color w:val="000000"/>
          <w:sz w:val="35"/>
          <w:szCs w:val="35"/>
        </w:rPr>
        <w:t>Precursores de Droga</w:t>
      </w:r>
    </w:p>
    <w:p w14:paraId="0E002FC2" w14:textId="2A4AF6A1" w:rsidR="00497F44" w:rsidRDefault="005B09DB" w:rsidP="00497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45" w:line="240" w:lineRule="auto"/>
        <w:rPr>
          <w:rFonts w:ascii="Lato" w:hAnsi="Lato"/>
          <w:color w:val="000000"/>
          <w:sz w:val="21"/>
          <w:szCs w:val="21"/>
        </w:rPr>
      </w:pPr>
      <w:hyperlink r:id="rId6" w:tgtFrame="_blank" w:history="1">
        <w:r w:rsidR="00497F44">
          <w:rPr>
            <w:rStyle w:val="Forte"/>
            <w:rFonts w:ascii="Lato" w:hAnsi="Lato"/>
            <w:color w:val="51B032"/>
            <w:sz w:val="21"/>
            <w:szCs w:val="21"/>
          </w:rPr>
          <w:t>Dec-Lei nº 15/93, de 22.01</w:t>
        </w:r>
      </w:hyperlink>
      <w:r w:rsidR="00497F44">
        <w:rPr>
          <w:rFonts w:ascii="Lato" w:hAnsi="Lato"/>
          <w:color w:val="000000"/>
          <w:sz w:val="21"/>
          <w:szCs w:val="21"/>
        </w:rPr>
        <w:t>  alterado pelas:</w:t>
      </w:r>
    </w:p>
    <w:p w14:paraId="615978F2" w14:textId="66F39910" w:rsidR="00497F44" w:rsidRPr="00497F44" w:rsidRDefault="005B09DB" w:rsidP="00497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45" w:line="240" w:lineRule="auto"/>
        <w:rPr>
          <w:rFonts w:ascii="Lato" w:hAnsi="Lato"/>
          <w:color w:val="000000"/>
          <w:sz w:val="21"/>
          <w:szCs w:val="21"/>
        </w:rPr>
      </w:pPr>
      <w:hyperlink r:id="rId7" w:tgtFrame="_blank" w:history="1">
        <w:r w:rsidR="00497F44">
          <w:rPr>
            <w:rStyle w:val="Forte"/>
            <w:rFonts w:ascii="Lato" w:hAnsi="Lato"/>
            <w:color w:val="51B032"/>
            <w:sz w:val="21"/>
            <w:szCs w:val="21"/>
          </w:rPr>
          <w:t>Lei nº 45/96, de 3.09</w:t>
        </w:r>
      </w:hyperlink>
    </w:p>
    <w:p w14:paraId="4081C03E" w14:textId="77777777" w:rsidR="00497F44" w:rsidRDefault="005B09DB" w:rsidP="00497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45" w:line="240" w:lineRule="auto"/>
        <w:rPr>
          <w:rFonts w:ascii="Lato" w:hAnsi="Lato"/>
          <w:color w:val="000000"/>
          <w:sz w:val="21"/>
          <w:szCs w:val="21"/>
        </w:rPr>
      </w:pPr>
      <w:hyperlink r:id="rId8" w:tgtFrame="_blank" w:history="1">
        <w:r w:rsidR="00497F44">
          <w:rPr>
            <w:rStyle w:val="Forte"/>
            <w:rFonts w:ascii="Lato" w:hAnsi="Lato"/>
            <w:color w:val="51B032"/>
            <w:sz w:val="21"/>
            <w:szCs w:val="21"/>
          </w:rPr>
          <w:t>Lei nº 101/2001, de 25.08</w:t>
        </w:r>
      </w:hyperlink>
      <w:r w:rsidR="00497F44">
        <w:rPr>
          <w:rFonts w:ascii="Lato" w:hAnsi="Lato"/>
          <w:color w:val="000000"/>
          <w:sz w:val="21"/>
          <w:szCs w:val="21"/>
        </w:rPr>
        <w:br/>
      </w:r>
    </w:p>
    <w:p w14:paraId="4CB8ECAE" w14:textId="77777777" w:rsidR="00497F44" w:rsidRDefault="005B09DB" w:rsidP="00497F4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rPr>
          <w:rFonts w:ascii="Lato" w:hAnsi="Lato"/>
          <w:color w:val="000000"/>
          <w:sz w:val="21"/>
          <w:szCs w:val="21"/>
        </w:rPr>
      </w:pPr>
      <w:hyperlink r:id="rId9" w:tgtFrame="_blank" w:history="1">
        <w:r w:rsidR="00497F44">
          <w:rPr>
            <w:rStyle w:val="Forte"/>
            <w:rFonts w:ascii="Lato" w:eastAsiaTheme="majorEastAsia" w:hAnsi="Lato"/>
            <w:color w:val="51B032"/>
            <w:sz w:val="21"/>
            <w:szCs w:val="21"/>
          </w:rPr>
          <w:t>Dec-Lei nº 323/2001, de 17.12</w:t>
        </w:r>
      </w:hyperlink>
    </w:p>
    <w:p w14:paraId="6D5CA719" w14:textId="77777777" w:rsidR="00497F44" w:rsidRDefault="005B09DB" w:rsidP="00497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45" w:line="240" w:lineRule="auto"/>
        <w:rPr>
          <w:rFonts w:ascii="Lato" w:hAnsi="Lato"/>
          <w:color w:val="000000"/>
          <w:sz w:val="21"/>
          <w:szCs w:val="21"/>
        </w:rPr>
      </w:pPr>
      <w:hyperlink r:id="rId10" w:tgtFrame="_blank" w:history="1">
        <w:r w:rsidR="00497F44">
          <w:rPr>
            <w:rStyle w:val="Forte"/>
            <w:rFonts w:ascii="Lato" w:hAnsi="Lato"/>
            <w:color w:val="51B032"/>
            <w:sz w:val="21"/>
            <w:szCs w:val="21"/>
          </w:rPr>
          <w:t>Lei nº 3/2003, de 15.01</w:t>
        </w:r>
      </w:hyperlink>
      <w:r w:rsidR="00497F44">
        <w:rPr>
          <w:rFonts w:ascii="Lato" w:hAnsi="Lato"/>
          <w:color w:val="000000"/>
          <w:sz w:val="21"/>
          <w:szCs w:val="21"/>
        </w:rPr>
        <w:br/>
      </w:r>
    </w:p>
    <w:p w14:paraId="16836CC3" w14:textId="77777777" w:rsidR="00497F44" w:rsidRDefault="005B09DB" w:rsidP="00497F4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rPr>
          <w:rFonts w:ascii="Lato" w:hAnsi="Lato"/>
          <w:color w:val="000000"/>
          <w:sz w:val="21"/>
          <w:szCs w:val="21"/>
        </w:rPr>
      </w:pPr>
      <w:hyperlink r:id="rId11" w:tgtFrame="_blank" w:history="1">
        <w:r w:rsidR="00497F44">
          <w:rPr>
            <w:rStyle w:val="Forte"/>
            <w:rFonts w:ascii="Lato" w:eastAsiaTheme="majorEastAsia" w:hAnsi="Lato"/>
            <w:color w:val="51B032"/>
            <w:sz w:val="21"/>
            <w:szCs w:val="21"/>
          </w:rPr>
          <w:t>Lei nº 18/2009, de 11.05</w:t>
        </w:r>
      </w:hyperlink>
    </w:p>
    <w:p w14:paraId="4AF01FEC" w14:textId="77777777" w:rsidR="00497F44" w:rsidRDefault="005B09DB" w:rsidP="00497F4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rPr>
          <w:rFonts w:ascii="Lato" w:hAnsi="Lato"/>
          <w:color w:val="000000"/>
          <w:sz w:val="21"/>
          <w:szCs w:val="21"/>
        </w:rPr>
      </w:pPr>
      <w:hyperlink r:id="rId12" w:tgtFrame="_blank" w:history="1">
        <w:r w:rsidR="00497F44">
          <w:rPr>
            <w:rStyle w:val="Forte"/>
            <w:rFonts w:ascii="Lato" w:eastAsiaTheme="majorEastAsia" w:hAnsi="Lato"/>
            <w:color w:val="51B032"/>
            <w:sz w:val="21"/>
            <w:szCs w:val="21"/>
          </w:rPr>
          <w:t>Lei nº 22/2014, de 28.04</w:t>
        </w:r>
      </w:hyperlink>
    </w:p>
    <w:p w14:paraId="79058B94" w14:textId="0A4439AF" w:rsidR="00497F44" w:rsidRDefault="005B09DB" w:rsidP="00497F4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rPr>
          <w:rFonts w:ascii="Lato" w:hAnsi="Lato"/>
          <w:color w:val="000000"/>
          <w:sz w:val="21"/>
          <w:szCs w:val="21"/>
        </w:rPr>
      </w:pPr>
      <w:hyperlink r:id="rId13" w:tgtFrame="_blank" w:history="1">
        <w:r w:rsidR="00497F44">
          <w:rPr>
            <w:rStyle w:val="Forte"/>
            <w:rFonts w:ascii="Lato" w:eastAsiaTheme="majorEastAsia" w:hAnsi="Lato"/>
            <w:color w:val="51B032"/>
            <w:sz w:val="21"/>
            <w:szCs w:val="21"/>
          </w:rPr>
          <w:t>Lei nº 77/2014, de 11.11</w:t>
        </w:r>
      </w:hyperlink>
    </w:p>
    <w:p w14:paraId="64C8ADB7" w14:textId="77777777" w:rsidR="00497F44" w:rsidRDefault="005B09DB" w:rsidP="00497F4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rPr>
          <w:rFonts w:ascii="Lato" w:hAnsi="Lato"/>
          <w:color w:val="000000"/>
          <w:sz w:val="21"/>
          <w:szCs w:val="21"/>
        </w:rPr>
      </w:pPr>
      <w:hyperlink r:id="rId14" w:tgtFrame="_blank" w:history="1">
        <w:r w:rsidR="00497F44">
          <w:rPr>
            <w:rStyle w:val="Forte"/>
            <w:rFonts w:ascii="Lato" w:eastAsiaTheme="majorEastAsia" w:hAnsi="Lato"/>
            <w:color w:val="51B032"/>
            <w:sz w:val="21"/>
            <w:szCs w:val="21"/>
          </w:rPr>
          <w:t>Decreto Regulamentar nº 61/94, de 12.10</w:t>
        </w:r>
      </w:hyperlink>
      <w:r w:rsidR="00497F44">
        <w:rPr>
          <w:rFonts w:ascii="Lato" w:hAnsi="Lato"/>
          <w:color w:val="000000"/>
          <w:sz w:val="21"/>
          <w:szCs w:val="21"/>
        </w:rPr>
        <w:t>  alterado por:</w:t>
      </w:r>
    </w:p>
    <w:p w14:paraId="01BD368D" w14:textId="09E2828A" w:rsidR="00497F44" w:rsidRDefault="005B09DB" w:rsidP="00497F4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rPr>
          <w:rFonts w:ascii="Lato" w:hAnsi="Lato"/>
          <w:color w:val="000000"/>
          <w:sz w:val="21"/>
          <w:szCs w:val="21"/>
        </w:rPr>
      </w:pPr>
      <w:hyperlink r:id="rId15" w:tgtFrame="_blank" w:history="1">
        <w:r w:rsidR="00497F44">
          <w:rPr>
            <w:rStyle w:val="Forte"/>
            <w:rFonts w:ascii="Lato" w:eastAsiaTheme="majorEastAsia" w:hAnsi="Lato"/>
            <w:color w:val="51B032"/>
            <w:sz w:val="21"/>
            <w:szCs w:val="21"/>
          </w:rPr>
          <w:t>Decreto Regulamentar nº 23/99, de 22.10</w:t>
        </w:r>
      </w:hyperlink>
    </w:p>
    <w:p w14:paraId="52E2765E" w14:textId="6172FA81" w:rsidR="00497F44" w:rsidRDefault="005B09DB" w:rsidP="00497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45" w:line="240" w:lineRule="auto"/>
        <w:rPr>
          <w:rFonts w:ascii="Lato" w:hAnsi="Lato"/>
          <w:color w:val="000000"/>
          <w:sz w:val="21"/>
          <w:szCs w:val="21"/>
        </w:rPr>
      </w:pPr>
      <w:hyperlink r:id="rId16" w:tgtFrame="_blank" w:history="1">
        <w:r w:rsidR="00497F44">
          <w:rPr>
            <w:rStyle w:val="Forte"/>
            <w:rFonts w:ascii="Lato" w:hAnsi="Lato"/>
            <w:color w:val="51B032"/>
            <w:sz w:val="21"/>
            <w:szCs w:val="21"/>
          </w:rPr>
          <w:t>Decreto Regulamentar nº 19/2004, de 30.04</w:t>
        </w:r>
      </w:hyperlink>
    </w:p>
    <w:p w14:paraId="54E3E85D" w14:textId="13010C8B" w:rsidR="00497F44" w:rsidRDefault="005B09DB" w:rsidP="00497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45" w:line="240" w:lineRule="auto"/>
        <w:rPr>
          <w:rFonts w:ascii="Lato" w:hAnsi="Lato"/>
          <w:color w:val="000000"/>
          <w:sz w:val="21"/>
          <w:szCs w:val="21"/>
        </w:rPr>
      </w:pPr>
      <w:hyperlink r:id="rId17" w:tgtFrame="_blank" w:history="1">
        <w:r w:rsidR="00497F44">
          <w:rPr>
            <w:rStyle w:val="Forte"/>
            <w:rFonts w:ascii="Lato" w:hAnsi="Lato"/>
            <w:color w:val="51B032"/>
            <w:sz w:val="21"/>
            <w:szCs w:val="21"/>
          </w:rPr>
          <w:t>Decreto Regulamentar nº 28/2009, de 12.10</w:t>
        </w:r>
      </w:hyperlink>
    </w:p>
    <w:p w14:paraId="46561E10" w14:textId="77777777" w:rsidR="00497F44" w:rsidRDefault="005B09DB" w:rsidP="00497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45" w:line="240" w:lineRule="auto"/>
        <w:rPr>
          <w:rFonts w:ascii="Lato" w:hAnsi="Lato"/>
          <w:color w:val="000000"/>
          <w:sz w:val="21"/>
          <w:szCs w:val="21"/>
        </w:rPr>
      </w:pPr>
      <w:hyperlink r:id="rId18" w:tgtFrame="_blank" w:history="1">
        <w:r w:rsidR="00497F44">
          <w:rPr>
            <w:rStyle w:val="Forte"/>
            <w:rFonts w:ascii="Lato" w:hAnsi="Lato"/>
            <w:color w:val="51B032"/>
            <w:sz w:val="21"/>
            <w:szCs w:val="21"/>
          </w:rPr>
          <w:t>Reg. (CE) nº 273/2004, de 11.02 </w:t>
        </w:r>
      </w:hyperlink>
      <w:r w:rsidR="00497F44">
        <w:rPr>
          <w:rFonts w:ascii="Lato" w:hAnsi="Lato"/>
          <w:color w:val="000000"/>
          <w:sz w:val="21"/>
          <w:szCs w:val="21"/>
        </w:rPr>
        <w:br/>
      </w:r>
    </w:p>
    <w:p w14:paraId="33EB8F51" w14:textId="7CCF4179" w:rsidR="00497F44" w:rsidRPr="00497F44" w:rsidRDefault="005B09DB" w:rsidP="00497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45" w:line="240" w:lineRule="auto"/>
        <w:rPr>
          <w:rFonts w:ascii="Lato" w:hAnsi="Lato"/>
          <w:color w:val="000000"/>
          <w:sz w:val="21"/>
          <w:szCs w:val="21"/>
        </w:rPr>
      </w:pPr>
      <w:hyperlink r:id="rId19" w:tgtFrame="_blank" w:history="1">
        <w:r w:rsidR="00497F44">
          <w:rPr>
            <w:rStyle w:val="Forte"/>
            <w:rFonts w:ascii="Lato" w:hAnsi="Lato"/>
            <w:color w:val="51B032"/>
            <w:sz w:val="21"/>
            <w:szCs w:val="21"/>
          </w:rPr>
          <w:t>Reg. (CE) nº 111/2005, de 22.12</w:t>
        </w:r>
      </w:hyperlink>
    </w:p>
    <w:p w14:paraId="31A6D3C1" w14:textId="77777777" w:rsidR="00D32058" w:rsidRPr="00D32058" w:rsidRDefault="00D32058" w:rsidP="00D32058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000000"/>
          <w:sz w:val="21"/>
          <w:szCs w:val="21"/>
          <w:lang w:eastAsia="pt-PT"/>
        </w:rPr>
      </w:pPr>
    </w:p>
    <w:p w14:paraId="2DA87664" w14:textId="646135F5" w:rsidR="00D32058" w:rsidRDefault="005B09DB" w:rsidP="00497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56"/>
          <w:szCs w:val="56"/>
        </w:rPr>
      </w:pPr>
      <w:hyperlink r:id="rId20" w:history="1">
        <w:r w:rsidR="00497F44" w:rsidRPr="0091641B">
          <w:rPr>
            <w:rStyle w:val="Hiperligao"/>
          </w:rPr>
          <w:t>https://www.asae.gov.pt/newsletter2/asaenews-n-118-dezembro-2019/canhamo-cannabis-sativa-eou-cbd-canabidiol-em-alimentos.aspx</w:t>
        </w:r>
      </w:hyperlink>
    </w:p>
    <w:p w14:paraId="3A7BF192" w14:textId="77777777" w:rsidR="00D32058" w:rsidRDefault="00D32058" w:rsidP="00497F4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00" w:after="150"/>
        <w:rPr>
          <w:rFonts w:ascii="Lato" w:hAnsi="Lato"/>
          <w:color w:val="000000"/>
          <w:sz w:val="35"/>
          <w:szCs w:val="35"/>
        </w:rPr>
      </w:pPr>
      <w:r>
        <w:rPr>
          <w:rFonts w:ascii="Lato" w:hAnsi="Lato"/>
          <w:b/>
          <w:bCs/>
          <w:color w:val="000000"/>
          <w:sz w:val="35"/>
          <w:szCs w:val="35"/>
        </w:rPr>
        <w:t>Cânhamo (Cannabis sativa) e/ou CBD (canabidiol) em Alimentos</w:t>
      </w:r>
    </w:p>
    <w:p w14:paraId="3FEF4123" w14:textId="40FEB5DD" w:rsidR="00D32058" w:rsidRDefault="00D32058" w:rsidP="00497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Lato" w:hAnsi="Lato"/>
          <w:color w:val="000000"/>
          <w:sz w:val="21"/>
          <w:szCs w:val="21"/>
        </w:rPr>
      </w:pPr>
      <w:r>
        <w:rPr>
          <w:rFonts w:ascii="Lato" w:hAnsi="Lato"/>
          <w:noProof/>
          <w:color w:val="000000"/>
          <w:sz w:val="21"/>
          <w:szCs w:val="21"/>
        </w:rPr>
        <w:drawing>
          <wp:inline distT="0" distB="0" distL="0" distR="0" wp14:anchorId="721C15C4" wp14:editId="02FC1E49">
            <wp:extent cx="4005513" cy="2428875"/>
            <wp:effectExtent l="0" t="0" r="0" b="0"/>
            <wp:docPr id="1" name="Imagem 1" descr="Cânhamo (Cannabis sativa) e/ou CBD (canabidiol) em Ali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nhamo (Cannabis sativa) e/ou CBD (canabidiol) em Alimento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131" cy="245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2A00C" w14:textId="47E96E03" w:rsidR="00D32058" w:rsidRPr="00B14764" w:rsidRDefault="00D32058" w:rsidP="00497F4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jc w:val="both"/>
        <w:rPr>
          <w:rFonts w:ascii="Lato" w:hAnsi="Lato"/>
          <w:color w:val="000000"/>
          <w:sz w:val="28"/>
          <w:szCs w:val="28"/>
        </w:rPr>
      </w:pPr>
      <w:r w:rsidRPr="00B14764">
        <w:rPr>
          <w:rFonts w:ascii="Lato" w:hAnsi="Lato"/>
          <w:color w:val="000000"/>
          <w:sz w:val="28"/>
          <w:szCs w:val="28"/>
        </w:rPr>
        <w:t>Nos últimos anos tem-se verificado um aumento da procura e disponibilização no mercado nacional de géneros alimentícios e de produtos fitoterápicos nos quais na sua composição consta a planta </w:t>
      </w:r>
      <w:r w:rsidRPr="00B14764">
        <w:rPr>
          <w:rStyle w:val="nfase"/>
          <w:rFonts w:ascii="Lato" w:hAnsi="Lato"/>
          <w:color w:val="000000"/>
          <w:sz w:val="28"/>
          <w:szCs w:val="28"/>
        </w:rPr>
        <w:t>Cannabis</w:t>
      </w:r>
      <w:r w:rsidRPr="00B14764">
        <w:rPr>
          <w:rFonts w:ascii="Lato" w:hAnsi="Lato"/>
          <w:color w:val="000000"/>
          <w:sz w:val="28"/>
          <w:szCs w:val="28"/>
        </w:rPr>
        <w:t> </w:t>
      </w:r>
      <w:r w:rsidRPr="00B14764">
        <w:rPr>
          <w:rStyle w:val="nfase"/>
          <w:rFonts w:ascii="Lato" w:hAnsi="Lato"/>
          <w:color w:val="000000"/>
          <w:sz w:val="28"/>
          <w:szCs w:val="28"/>
        </w:rPr>
        <w:t>sativa</w:t>
      </w:r>
      <w:r w:rsidRPr="00B14764">
        <w:rPr>
          <w:rFonts w:ascii="Lato" w:hAnsi="Lato"/>
          <w:color w:val="000000"/>
          <w:sz w:val="28"/>
          <w:szCs w:val="28"/>
        </w:rPr>
        <w:t xml:space="preserve">, as suas sementes, extratos, óleos, ou apenas as suas substâncias químicas de forma isolada como o canabidiol (CBD) ou outros </w:t>
      </w:r>
      <w:r w:rsidR="00B14764" w:rsidRPr="00B14764">
        <w:rPr>
          <w:rFonts w:ascii="Lato" w:hAnsi="Lato"/>
          <w:color w:val="000000"/>
          <w:sz w:val="28"/>
          <w:szCs w:val="28"/>
        </w:rPr>
        <w:t>canabinioides</w:t>
      </w:r>
      <w:r w:rsidRPr="00B14764">
        <w:rPr>
          <w:rFonts w:ascii="Lato" w:hAnsi="Lato"/>
          <w:color w:val="000000"/>
          <w:sz w:val="28"/>
          <w:szCs w:val="28"/>
        </w:rPr>
        <w:t>. Dada a especificidades desta planta e atentos à moldura legal atual, torna-se importante, assegurar proteção dos interesses dos consumidores, incluindo as boas práticas no comércio de géneros alimentícios, tendo em conta, sempre uma adequada proteção da sua saúde.</w:t>
      </w:r>
    </w:p>
    <w:p w14:paraId="71E2DF5F" w14:textId="612E3F55" w:rsidR="00D32058" w:rsidRPr="00B14764" w:rsidRDefault="00D32058" w:rsidP="00497F4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jc w:val="both"/>
        <w:rPr>
          <w:rFonts w:ascii="Lato" w:hAnsi="Lato"/>
          <w:color w:val="000000"/>
          <w:sz w:val="28"/>
          <w:szCs w:val="28"/>
        </w:rPr>
      </w:pPr>
      <w:r w:rsidRPr="00B14764">
        <w:rPr>
          <w:rFonts w:ascii="Lato" w:hAnsi="Lato"/>
          <w:color w:val="000000"/>
          <w:sz w:val="28"/>
          <w:szCs w:val="28"/>
        </w:rPr>
        <w:br/>
        <w:t>A Comissão Europeia considera que os géneros alimentícios com extratos de qualquer parte da planta </w:t>
      </w:r>
      <w:r w:rsidRPr="00B14764">
        <w:rPr>
          <w:rStyle w:val="nfase"/>
          <w:rFonts w:ascii="Lato" w:hAnsi="Lato"/>
          <w:color w:val="000000"/>
          <w:sz w:val="28"/>
          <w:szCs w:val="28"/>
        </w:rPr>
        <w:t>Cannabis sativa L</w:t>
      </w:r>
      <w:r w:rsidRPr="00B14764">
        <w:rPr>
          <w:rFonts w:ascii="Lato" w:hAnsi="Lato"/>
          <w:color w:val="000000"/>
          <w:sz w:val="28"/>
          <w:szCs w:val="28"/>
        </w:rPr>
        <w:t>, bem como alimentos aos quais tiverem sido adicionados extratos de </w:t>
      </w:r>
      <w:r w:rsidRPr="00B14764">
        <w:rPr>
          <w:rStyle w:val="nfase"/>
          <w:rFonts w:ascii="Lato" w:hAnsi="Lato"/>
          <w:color w:val="000000"/>
          <w:sz w:val="28"/>
          <w:szCs w:val="28"/>
        </w:rPr>
        <w:t>Cannabis sativa L</w:t>
      </w:r>
      <w:r w:rsidRPr="00B14764">
        <w:rPr>
          <w:rFonts w:ascii="Lato" w:hAnsi="Lato"/>
          <w:color w:val="000000"/>
          <w:sz w:val="28"/>
          <w:szCs w:val="28"/>
        </w:rPr>
        <w:t> (por exemplo óleo das sementes, são novos alimentos</w:t>
      </w:r>
      <w:r w:rsidRPr="00B14764">
        <w:rPr>
          <w:rFonts w:ascii="Lato" w:hAnsi="Lato"/>
          <w:color w:val="000000"/>
          <w:sz w:val="28"/>
          <w:szCs w:val="28"/>
          <w:vertAlign w:val="superscript"/>
        </w:rPr>
        <w:t>1</w:t>
      </w:r>
      <w:r w:rsidRPr="00B14764">
        <w:rPr>
          <w:rFonts w:ascii="Lato" w:hAnsi="Lato"/>
          <w:color w:val="000000"/>
          <w:sz w:val="28"/>
          <w:szCs w:val="28"/>
        </w:rPr>
        <w:t>  autorizados, desde que o teor de tetra-hidrocanabiol - THC das superfícies (caule e sementes) das variedades de plantas utilizadas não exceda os 0,2%(w/w), conforme prevê o </w:t>
      </w:r>
      <w:hyperlink r:id="rId22" w:tgtFrame="_blank" w:history="1">
        <w:r w:rsidRPr="00B14764">
          <w:rPr>
            <w:rStyle w:val="Hiperligao"/>
            <w:rFonts w:ascii="Lato" w:hAnsi="Lato"/>
            <w:color w:val="51B032"/>
            <w:sz w:val="28"/>
            <w:szCs w:val="28"/>
          </w:rPr>
          <w:t>Regulamento (UE) nº1307/2013</w:t>
        </w:r>
      </w:hyperlink>
      <w:r w:rsidRPr="00B14764">
        <w:rPr>
          <w:rFonts w:ascii="Lato" w:hAnsi="Lato"/>
          <w:color w:val="000000"/>
          <w:sz w:val="28"/>
          <w:szCs w:val="28"/>
        </w:rPr>
        <w:t xml:space="preserve"> de 17 dezembro. No entanto, a Comissão </w:t>
      </w:r>
      <w:r w:rsidRPr="00B14764">
        <w:rPr>
          <w:rFonts w:ascii="Lato" w:hAnsi="Lato"/>
          <w:color w:val="000000"/>
          <w:sz w:val="28"/>
          <w:szCs w:val="28"/>
        </w:rPr>
        <w:lastRenderedPageBreak/>
        <w:t>Europeia considera que deverão ser atendidas as outras legislações especificas de cada Estado-Membro relativas às restrições de colocação no mercado da canábis como alimento ou como ingrediente de alimento (COM, 2019).</w:t>
      </w:r>
    </w:p>
    <w:p w14:paraId="32EEF4FE" w14:textId="6CC5AEDC" w:rsidR="00B14764" w:rsidRDefault="00D32058" w:rsidP="00497F4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jc w:val="both"/>
        <w:rPr>
          <w:rFonts w:ascii="Lato" w:hAnsi="Lato"/>
          <w:color w:val="000000"/>
          <w:sz w:val="28"/>
          <w:szCs w:val="28"/>
        </w:rPr>
      </w:pPr>
      <w:r w:rsidRPr="00B14764">
        <w:rPr>
          <w:rFonts w:ascii="Lato" w:hAnsi="Lato"/>
          <w:color w:val="000000"/>
          <w:sz w:val="28"/>
          <w:szCs w:val="28"/>
        </w:rPr>
        <w:t>A este propósito, salienta-se que, em Portugal, está em vigor o </w:t>
      </w:r>
      <w:hyperlink r:id="rId23" w:tgtFrame="_blank" w:history="1">
        <w:r w:rsidRPr="00B14764">
          <w:rPr>
            <w:rStyle w:val="Hiperligao"/>
            <w:rFonts w:ascii="Lato" w:hAnsi="Lato"/>
            <w:color w:val="51B032"/>
            <w:sz w:val="28"/>
            <w:szCs w:val="28"/>
          </w:rPr>
          <w:t>Decreto-Lei n. 15/93</w:t>
        </w:r>
      </w:hyperlink>
      <w:r w:rsidRPr="00B14764">
        <w:rPr>
          <w:rFonts w:ascii="Lato" w:hAnsi="Lato"/>
          <w:color w:val="000000"/>
          <w:sz w:val="28"/>
          <w:szCs w:val="28"/>
        </w:rPr>
        <w:t>, de 22 de janeiro, que define o regime jurídico aplicável ao tráfico e consumo de estupefacientes e substâncias psicotrópicas, e o </w:t>
      </w:r>
      <w:hyperlink r:id="rId24" w:tgtFrame="_blank" w:history="1">
        <w:r w:rsidRPr="00B14764">
          <w:rPr>
            <w:rStyle w:val="Hiperligao"/>
            <w:rFonts w:ascii="Lato" w:hAnsi="Lato"/>
            <w:color w:val="51B032"/>
            <w:sz w:val="28"/>
            <w:szCs w:val="28"/>
          </w:rPr>
          <w:t>Decreto Regulamentar nº 61/94</w:t>
        </w:r>
      </w:hyperlink>
      <w:r w:rsidRPr="00B14764">
        <w:rPr>
          <w:rFonts w:ascii="Lato" w:hAnsi="Lato"/>
          <w:color w:val="000000"/>
          <w:sz w:val="28"/>
          <w:szCs w:val="28"/>
        </w:rPr>
        <w:t>, de 12 de outubro, que estabelece as regras relativas ao controlo do mercado lícito de estupefacientes, substâncias psicotrópicas, precursores e outros produtos químicos suscetíveis de utilização no fabrico de droga, compreendidos nas tabelas I a VI anexas ao Decreto-Lei nº 15/93, de 22 de Janeiro. Estes diplomas proíbem o cultivo de cânhamo (Cannabis sativa L) sem excecionarem o cultivo das variedades que se destinam a fins industriais. Contudo, a recente </w:t>
      </w:r>
      <w:hyperlink r:id="rId25" w:tgtFrame="_blank" w:history="1">
        <w:r w:rsidRPr="00B14764">
          <w:rPr>
            <w:rStyle w:val="Hiperligao"/>
            <w:rFonts w:ascii="Lato" w:hAnsi="Lato"/>
            <w:color w:val="51B032"/>
            <w:sz w:val="28"/>
            <w:szCs w:val="28"/>
          </w:rPr>
          <w:t>Lei nº 8/2019</w:t>
        </w:r>
      </w:hyperlink>
      <w:r w:rsidRPr="00B14764">
        <w:rPr>
          <w:rFonts w:ascii="Lato" w:hAnsi="Lato"/>
          <w:color w:val="000000"/>
          <w:sz w:val="28"/>
          <w:szCs w:val="28"/>
        </w:rPr>
        <w:t>, 23ª alteração ao Decreto-Lei nº15/93 de 22/01, que aprova o regime jurídico aplicável ao tráfico e consumo de estupefacientes e substâncias psicotrópicas, e que transpõe a </w:t>
      </w:r>
      <w:hyperlink r:id="rId26" w:tgtFrame="_blank" w:history="1">
        <w:r w:rsidRPr="00B14764">
          <w:rPr>
            <w:rStyle w:val="Hiperligao"/>
            <w:rFonts w:ascii="Lato" w:hAnsi="Lato"/>
            <w:color w:val="51B032"/>
            <w:sz w:val="28"/>
            <w:szCs w:val="28"/>
          </w:rPr>
          <w:t>Diretiva (UE) 2017/2103</w:t>
        </w:r>
      </w:hyperlink>
      <w:r w:rsidRPr="00B14764">
        <w:rPr>
          <w:rFonts w:ascii="Lato" w:hAnsi="Lato"/>
          <w:color w:val="000000"/>
          <w:sz w:val="28"/>
          <w:szCs w:val="28"/>
        </w:rPr>
        <w:t>, do Parlamento Europeu e do Conselho, de 15 de novembro, prevê a utilização da planta canábis apenas para fins medicinais, em medicamentos, preparações e substancias, com prescrição medica (INFARMED, 2019).</w:t>
      </w:r>
    </w:p>
    <w:p w14:paraId="7C60EEA2" w14:textId="6201D438" w:rsidR="00497F44" w:rsidRDefault="00497F44" w:rsidP="00497F4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jc w:val="both"/>
        <w:rPr>
          <w:rFonts w:ascii="Lato" w:hAnsi="Lato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18B0096" wp14:editId="0A184DF2">
            <wp:extent cx="5534025" cy="3448050"/>
            <wp:effectExtent l="0" t="0" r="9525" b="0"/>
            <wp:docPr id="2" name="Imagem 2" descr="Cânhamo (Cannabis sativa) e/ou CBD (canabidiol) em Ali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ânhamo (Cannabis sativa) e/ou CBD (canabidiol) em Alimento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067" cy="346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78A0A" w14:textId="2DAFB51D" w:rsidR="00B14764" w:rsidRPr="00B14764" w:rsidRDefault="00B14764" w:rsidP="00497F4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jc w:val="both"/>
        <w:rPr>
          <w:rFonts w:ascii="Lato" w:hAnsi="Lato"/>
          <w:color w:val="000000"/>
          <w:sz w:val="28"/>
          <w:szCs w:val="28"/>
        </w:rPr>
      </w:pPr>
      <w:r w:rsidRPr="00B14764">
        <w:rPr>
          <w:rFonts w:ascii="Lato" w:hAnsi="Lato"/>
          <w:color w:val="000000"/>
          <w:sz w:val="28"/>
          <w:szCs w:val="28"/>
        </w:rPr>
        <w:lastRenderedPageBreak/>
        <w:t>Assim, os </w:t>
      </w:r>
      <w:r w:rsidRPr="00B14764">
        <w:rPr>
          <w:rStyle w:val="Forte"/>
          <w:rFonts w:ascii="Lato" w:hAnsi="Lato"/>
          <w:color w:val="000000"/>
          <w:sz w:val="28"/>
          <w:szCs w:val="28"/>
        </w:rPr>
        <w:t>alimentos derivados da planta </w:t>
      </w:r>
      <w:r w:rsidRPr="00B14764">
        <w:rPr>
          <w:rStyle w:val="nfase"/>
          <w:rFonts w:ascii="Lato" w:hAnsi="Lato"/>
          <w:b/>
          <w:bCs/>
          <w:color w:val="000000"/>
          <w:sz w:val="28"/>
          <w:szCs w:val="28"/>
        </w:rPr>
        <w:t>Cannabis sativa L</w:t>
      </w:r>
      <w:r w:rsidRPr="00B14764">
        <w:rPr>
          <w:rStyle w:val="Forte"/>
          <w:rFonts w:ascii="Lato" w:hAnsi="Lato"/>
          <w:color w:val="000000"/>
          <w:sz w:val="28"/>
          <w:szCs w:val="28"/>
        </w:rPr>
        <w:t> autorizados</w:t>
      </w:r>
      <w:r w:rsidRPr="00B14764">
        <w:rPr>
          <w:rFonts w:ascii="Lato" w:hAnsi="Lato"/>
          <w:color w:val="000000"/>
          <w:sz w:val="28"/>
          <w:szCs w:val="28"/>
        </w:rPr>
        <w:t> para ser comercializados na União Europeia, e que apresentam histórico de consumo seguro e significativos, </w:t>
      </w:r>
      <w:r w:rsidRPr="00B14764">
        <w:rPr>
          <w:rFonts w:ascii="Lato" w:hAnsi="Lato"/>
          <w:color w:val="000000"/>
          <w:sz w:val="28"/>
          <w:szCs w:val="28"/>
          <w:u w:val="single"/>
        </w:rPr>
        <w:t>são os provenientes</w:t>
      </w:r>
      <w:r w:rsidRPr="00B14764">
        <w:rPr>
          <w:rFonts w:ascii="Lato" w:hAnsi="Lato"/>
          <w:color w:val="000000"/>
          <w:sz w:val="28"/>
          <w:szCs w:val="28"/>
        </w:rPr>
        <w:t> </w:t>
      </w:r>
      <w:r w:rsidRPr="00B14764">
        <w:rPr>
          <w:rStyle w:val="Forte"/>
          <w:rFonts w:ascii="Lato" w:hAnsi="Lato"/>
          <w:color w:val="000000"/>
          <w:sz w:val="28"/>
          <w:szCs w:val="28"/>
        </w:rPr>
        <w:t>exclusivamente das sementes do cânhamo, nomeadamente óleo de sementes, proteína de cânhamo, farinha de cânhamo</w:t>
      </w:r>
      <w:r w:rsidRPr="00B14764">
        <w:rPr>
          <w:rFonts w:ascii="Lato" w:hAnsi="Lato"/>
          <w:color w:val="000000"/>
          <w:sz w:val="28"/>
          <w:szCs w:val="28"/>
        </w:rPr>
        <w:t>, e sempre com a premissa que sejam provenientes de variedades de </w:t>
      </w:r>
      <w:r w:rsidRPr="00B14764">
        <w:rPr>
          <w:rStyle w:val="nfase"/>
          <w:rFonts w:ascii="Lato" w:hAnsi="Lato"/>
          <w:color w:val="000000"/>
          <w:sz w:val="28"/>
          <w:szCs w:val="28"/>
        </w:rPr>
        <w:t>Cannabis sativa</w:t>
      </w:r>
      <w:r w:rsidRPr="00B14764">
        <w:rPr>
          <w:rFonts w:ascii="Lato" w:hAnsi="Lato"/>
          <w:color w:val="000000"/>
          <w:sz w:val="28"/>
          <w:szCs w:val="28"/>
        </w:rPr>
        <w:t> </w:t>
      </w:r>
      <w:r w:rsidRPr="00B14764">
        <w:rPr>
          <w:rStyle w:val="nfase"/>
          <w:rFonts w:ascii="Lato" w:hAnsi="Lato"/>
          <w:color w:val="000000"/>
          <w:sz w:val="28"/>
          <w:szCs w:val="28"/>
        </w:rPr>
        <w:t>L</w:t>
      </w:r>
      <w:r w:rsidRPr="00B14764">
        <w:rPr>
          <w:rFonts w:ascii="Lato" w:hAnsi="Lato"/>
          <w:color w:val="000000"/>
          <w:sz w:val="28"/>
          <w:szCs w:val="28"/>
        </w:rPr>
        <w:t> contendo THC inferior a 0,2% (w/w) e </w:t>
      </w:r>
      <w:r w:rsidRPr="00B14764">
        <w:rPr>
          <w:rStyle w:val="Forte"/>
          <w:rFonts w:ascii="Lato" w:hAnsi="Lato"/>
          <w:color w:val="000000"/>
          <w:sz w:val="28"/>
          <w:szCs w:val="28"/>
        </w:rPr>
        <w:t>desde que não apresentem na sua rotulagem/publicidade alegações de saúde e propriedades terapêuticas.</w:t>
      </w:r>
    </w:p>
    <w:p w14:paraId="60C79805" w14:textId="77777777" w:rsidR="00B14764" w:rsidRPr="00B14764" w:rsidRDefault="00B14764" w:rsidP="00497F4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jc w:val="both"/>
        <w:rPr>
          <w:rFonts w:ascii="Lato" w:hAnsi="Lato"/>
          <w:color w:val="000000"/>
          <w:sz w:val="28"/>
          <w:szCs w:val="28"/>
        </w:rPr>
      </w:pPr>
      <w:r w:rsidRPr="00B14764">
        <w:rPr>
          <w:rFonts w:ascii="Lato" w:hAnsi="Lato"/>
          <w:color w:val="000000"/>
          <w:sz w:val="28"/>
          <w:szCs w:val="28"/>
        </w:rPr>
        <w:t>Desta forma, e de acordo com o previsto nos requisitos do </w:t>
      </w:r>
      <w:hyperlink r:id="rId28" w:tgtFrame="_blank" w:history="1">
        <w:r w:rsidRPr="00B14764">
          <w:rPr>
            <w:rStyle w:val="Hiperligao"/>
            <w:rFonts w:ascii="Lato" w:hAnsi="Lato"/>
            <w:color w:val="51B032"/>
            <w:sz w:val="28"/>
            <w:szCs w:val="28"/>
          </w:rPr>
          <w:t>Regulamento (UE) nº 2015/2283</w:t>
        </w:r>
      </w:hyperlink>
      <w:r w:rsidRPr="00B14764">
        <w:rPr>
          <w:rFonts w:ascii="Lato" w:hAnsi="Lato"/>
          <w:color w:val="000000"/>
          <w:sz w:val="28"/>
          <w:szCs w:val="28"/>
        </w:rPr>
        <w:t>, relativo a Novos Alimentos e Ingredientes Alimentares, </w:t>
      </w:r>
      <w:r w:rsidRPr="00B14764">
        <w:rPr>
          <w:rStyle w:val="Forte"/>
          <w:rFonts w:ascii="Lato" w:hAnsi="Lato"/>
          <w:color w:val="000000"/>
          <w:sz w:val="28"/>
          <w:szCs w:val="28"/>
        </w:rPr>
        <w:t>as flores, folhas e extratos de qualquer parte da planta </w:t>
      </w:r>
      <w:r w:rsidRPr="00B14764">
        <w:rPr>
          <w:rStyle w:val="nfase"/>
          <w:rFonts w:ascii="Lato" w:hAnsi="Lato"/>
          <w:b/>
          <w:bCs/>
          <w:color w:val="000000"/>
          <w:sz w:val="28"/>
          <w:szCs w:val="28"/>
        </w:rPr>
        <w:t>Cannabis sativa</w:t>
      </w:r>
      <w:r w:rsidRPr="00B14764">
        <w:rPr>
          <w:rStyle w:val="Forte"/>
          <w:rFonts w:ascii="Lato" w:hAnsi="Lato"/>
          <w:color w:val="000000"/>
          <w:sz w:val="28"/>
          <w:szCs w:val="28"/>
        </w:rPr>
        <w:t> </w:t>
      </w:r>
      <w:r w:rsidRPr="00B14764">
        <w:rPr>
          <w:rStyle w:val="nfase"/>
          <w:rFonts w:ascii="Lato" w:hAnsi="Lato"/>
          <w:b/>
          <w:bCs/>
          <w:color w:val="000000"/>
          <w:sz w:val="28"/>
          <w:szCs w:val="28"/>
        </w:rPr>
        <w:t>L</w:t>
      </w:r>
      <w:r w:rsidRPr="00B14764">
        <w:rPr>
          <w:rStyle w:val="Forte"/>
          <w:rFonts w:ascii="Lato" w:hAnsi="Lato"/>
          <w:color w:val="000000"/>
          <w:sz w:val="28"/>
          <w:szCs w:val="28"/>
        </w:rPr>
        <w:t>, bem como alimentos aos quais tiverem sido adicionados essas partes e/ou extratos</w:t>
      </w:r>
      <w:r w:rsidRPr="00B14764">
        <w:rPr>
          <w:rFonts w:ascii="Lato" w:hAnsi="Lato"/>
          <w:color w:val="000000"/>
          <w:sz w:val="28"/>
          <w:szCs w:val="28"/>
        </w:rPr>
        <w:t> </w:t>
      </w:r>
      <w:r w:rsidRPr="00B14764">
        <w:rPr>
          <w:rFonts w:ascii="Lato" w:hAnsi="Lato"/>
          <w:color w:val="000000"/>
          <w:sz w:val="28"/>
          <w:szCs w:val="28"/>
          <w:u w:val="single"/>
        </w:rPr>
        <w:t>são novos alimentos e para poderem ser colocados no mercado terão que passar pelo procedimento de autorização, conforme estabelecido no Regulamento (UE) nº 2015/2283</w:t>
      </w:r>
      <w:r w:rsidRPr="00B14764">
        <w:rPr>
          <w:rFonts w:ascii="Lato" w:hAnsi="Lato"/>
          <w:color w:val="000000"/>
          <w:sz w:val="28"/>
          <w:szCs w:val="28"/>
        </w:rPr>
        <w:t>, aos quais será efetuada uma análise de risco pela Autoridade de Segurança Alimentar Europeia (EFSA).</w:t>
      </w:r>
    </w:p>
    <w:p w14:paraId="641FE86F" w14:textId="50560CCC" w:rsidR="00B14764" w:rsidRPr="00B14764" w:rsidRDefault="00B14764" w:rsidP="00497F4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jc w:val="both"/>
        <w:rPr>
          <w:rFonts w:ascii="Lato" w:hAnsi="Lato"/>
          <w:color w:val="000000"/>
          <w:sz w:val="28"/>
          <w:szCs w:val="28"/>
        </w:rPr>
      </w:pPr>
      <w:r w:rsidRPr="00B14764">
        <w:rPr>
          <w:rFonts w:ascii="Lato" w:hAnsi="Lato"/>
          <w:color w:val="000000"/>
          <w:sz w:val="28"/>
          <w:szCs w:val="28"/>
        </w:rPr>
        <w:t xml:space="preserve">Relativamente à utilização de </w:t>
      </w:r>
      <w:r w:rsidR="00497F44" w:rsidRPr="00B14764">
        <w:rPr>
          <w:rFonts w:ascii="Lato" w:hAnsi="Lato"/>
          <w:color w:val="000000"/>
          <w:sz w:val="28"/>
          <w:szCs w:val="28"/>
        </w:rPr>
        <w:t>canabinioides</w:t>
      </w:r>
      <w:r w:rsidRPr="00B14764">
        <w:rPr>
          <w:rFonts w:ascii="Lato" w:hAnsi="Lato"/>
          <w:color w:val="000000"/>
          <w:sz w:val="28"/>
          <w:szCs w:val="28"/>
        </w:rPr>
        <w:t>, nomeadamente </w:t>
      </w:r>
      <w:r w:rsidRPr="00B14764">
        <w:rPr>
          <w:rStyle w:val="Forte"/>
          <w:rFonts w:ascii="Lato" w:hAnsi="Lato"/>
          <w:color w:val="000000"/>
          <w:sz w:val="28"/>
          <w:szCs w:val="28"/>
        </w:rPr>
        <w:t>canabidiol (CBD)</w:t>
      </w:r>
      <w:r w:rsidRPr="00B14764">
        <w:rPr>
          <w:rFonts w:ascii="Lato" w:hAnsi="Lato"/>
          <w:color w:val="000000"/>
          <w:sz w:val="28"/>
          <w:szCs w:val="28"/>
        </w:rPr>
        <w:t> e o </w:t>
      </w:r>
      <w:r w:rsidRPr="00B14764">
        <w:rPr>
          <w:rStyle w:val="Forte"/>
          <w:rFonts w:ascii="Lato" w:hAnsi="Lato"/>
          <w:color w:val="000000"/>
          <w:sz w:val="28"/>
          <w:szCs w:val="28"/>
        </w:rPr>
        <w:t>delta-9-tetraidrocanabinol (THC)</w:t>
      </w:r>
      <w:r w:rsidRPr="00B14764">
        <w:rPr>
          <w:rFonts w:ascii="Lato" w:hAnsi="Lato"/>
          <w:color w:val="000000"/>
          <w:sz w:val="28"/>
          <w:szCs w:val="28"/>
        </w:rPr>
        <w:t>, cannabigerol (CBG), cannabinol (CBN) e outros, usados em alimentos, à semelhança das partes de planta e seus extratos, </w:t>
      </w:r>
      <w:r w:rsidRPr="00B14764">
        <w:rPr>
          <w:rStyle w:val="Forte"/>
          <w:rFonts w:ascii="Lato" w:hAnsi="Lato"/>
          <w:color w:val="000000"/>
          <w:sz w:val="28"/>
          <w:szCs w:val="28"/>
        </w:rPr>
        <w:t>são considerados novos alimentos não autorizados</w:t>
      </w:r>
      <w:r w:rsidRPr="00B14764">
        <w:rPr>
          <w:rFonts w:ascii="Lato" w:hAnsi="Lato"/>
          <w:color w:val="000000"/>
          <w:sz w:val="28"/>
          <w:szCs w:val="28"/>
        </w:rPr>
        <w:t> (COM, 2019), não tendo sido demonstrado até à data historial de consumo significativo e seguro na União Europeia antes de 15 de maio de 1997. Assim, </w:t>
      </w:r>
      <w:r w:rsidRPr="00B14764">
        <w:rPr>
          <w:rStyle w:val="Forte"/>
          <w:rFonts w:ascii="Lato" w:hAnsi="Lato"/>
          <w:color w:val="000000"/>
          <w:sz w:val="28"/>
          <w:szCs w:val="28"/>
        </w:rPr>
        <w:t>a comercialização de alimentos com estas substâncias não está autorizada.</w:t>
      </w:r>
    </w:p>
    <w:p w14:paraId="3724C464" w14:textId="77777777" w:rsidR="00B14764" w:rsidRPr="00B14764" w:rsidRDefault="00B14764" w:rsidP="00497F4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jc w:val="both"/>
        <w:rPr>
          <w:rFonts w:ascii="Lato" w:hAnsi="Lato"/>
          <w:color w:val="000000"/>
          <w:sz w:val="28"/>
          <w:szCs w:val="28"/>
        </w:rPr>
      </w:pPr>
      <w:r w:rsidRPr="00B14764">
        <w:rPr>
          <w:rFonts w:ascii="Lato" w:hAnsi="Lato"/>
          <w:color w:val="000000"/>
          <w:sz w:val="28"/>
          <w:szCs w:val="28"/>
        </w:rPr>
        <w:t>A </w:t>
      </w:r>
      <w:r w:rsidRPr="00B14764">
        <w:rPr>
          <w:rStyle w:val="Forte"/>
          <w:rFonts w:ascii="Lato" w:hAnsi="Lato"/>
          <w:color w:val="000000"/>
          <w:sz w:val="28"/>
          <w:szCs w:val="28"/>
        </w:rPr>
        <w:t>Autoridade de Segurança Alimentar e Económica (ASAE),</w:t>
      </w:r>
      <w:r w:rsidRPr="00B14764">
        <w:rPr>
          <w:rFonts w:ascii="Lato" w:hAnsi="Lato"/>
          <w:color w:val="000000"/>
          <w:sz w:val="28"/>
          <w:szCs w:val="28"/>
        </w:rPr>
        <w:t> enquanto Autoridade administrativa nacional especializada no âmbito da Segurança Alimentar e da Fiscalização Económica, com poderes de investigação criminal, tem direcionado a sua atuação de modo a assegurar aos Consumidores que, os géneros alimentícios colocados no mercado não põem em risco a sua segurança e saúde e que são defendidos os seus interesses, na garantia de uma sã e leal concorrência entre os operadores económicos. A ASAE, no âmbito do </w:t>
      </w:r>
      <w:r w:rsidRPr="00B14764">
        <w:rPr>
          <w:rStyle w:val="Forte"/>
          <w:rFonts w:ascii="Lato" w:hAnsi="Lato"/>
          <w:color w:val="000000"/>
          <w:sz w:val="28"/>
          <w:szCs w:val="28"/>
        </w:rPr>
        <w:t>Controlo Oficial dos Géneros Alimentícios</w:t>
      </w:r>
      <w:r w:rsidRPr="00B14764">
        <w:rPr>
          <w:rFonts w:ascii="Lato" w:hAnsi="Lato"/>
          <w:color w:val="000000"/>
          <w:sz w:val="28"/>
          <w:szCs w:val="28"/>
        </w:rPr>
        <w:t xml:space="preserve">, em particular na </w:t>
      </w:r>
      <w:r w:rsidRPr="00B14764">
        <w:rPr>
          <w:rFonts w:ascii="Lato" w:hAnsi="Lato"/>
          <w:color w:val="000000"/>
          <w:sz w:val="28"/>
          <w:szCs w:val="28"/>
        </w:rPr>
        <w:lastRenderedPageBreak/>
        <w:t>execução do Plano Nacional de Fiscalização Alimentar </w:t>
      </w:r>
      <w:r w:rsidRPr="00B14764">
        <w:rPr>
          <w:rStyle w:val="Forte"/>
          <w:rFonts w:ascii="Lato" w:hAnsi="Lato"/>
          <w:color w:val="000000"/>
          <w:sz w:val="28"/>
          <w:szCs w:val="28"/>
        </w:rPr>
        <w:t>(PNFA</w:t>
      </w:r>
      <w:r w:rsidRPr="00B14764">
        <w:rPr>
          <w:rFonts w:ascii="Lato" w:hAnsi="Lato"/>
          <w:color w:val="000000"/>
          <w:sz w:val="28"/>
          <w:szCs w:val="28"/>
        </w:rPr>
        <w:t>), tem vindo a desenvolver diversas</w:t>
      </w:r>
      <w:r w:rsidRPr="00B14764">
        <w:rPr>
          <w:rStyle w:val="Forte"/>
          <w:rFonts w:ascii="Lato" w:hAnsi="Lato"/>
          <w:color w:val="000000"/>
          <w:sz w:val="28"/>
          <w:szCs w:val="28"/>
        </w:rPr>
        <w:t> ações de fiscalização no âmbito do uso da cannabis sativa L e canabinioides nos alimentos.</w:t>
      </w:r>
      <w:r w:rsidRPr="00B14764">
        <w:rPr>
          <w:rFonts w:ascii="Lato" w:hAnsi="Lato"/>
          <w:color w:val="000000"/>
          <w:sz w:val="28"/>
          <w:szCs w:val="28"/>
        </w:rPr>
        <w:t> No decurso das ações desenvolvidas, a nível nacional, de janeiro a novembro de </w:t>
      </w:r>
      <w:r w:rsidRPr="00B14764">
        <w:rPr>
          <w:rStyle w:val="Forte"/>
          <w:rFonts w:ascii="Lato" w:hAnsi="Lato"/>
          <w:color w:val="000000"/>
          <w:sz w:val="28"/>
          <w:szCs w:val="28"/>
        </w:rPr>
        <w:t>2019</w:t>
      </w:r>
      <w:r w:rsidRPr="00B14764">
        <w:rPr>
          <w:rFonts w:ascii="Lato" w:hAnsi="Lato"/>
          <w:color w:val="000000"/>
          <w:sz w:val="28"/>
          <w:szCs w:val="28"/>
        </w:rPr>
        <w:t>, foram inspecionados, neste âmbito, 50 operadores económicos, tendo sido </w:t>
      </w:r>
      <w:r w:rsidRPr="00B14764">
        <w:rPr>
          <w:rStyle w:val="Forte"/>
          <w:rFonts w:ascii="Lato" w:hAnsi="Lato"/>
          <w:color w:val="000000"/>
          <w:sz w:val="28"/>
          <w:szCs w:val="28"/>
        </w:rPr>
        <w:t>apreendidos diversos alimentos/produtos num valor total de 15042€</w:t>
      </w:r>
      <w:r w:rsidRPr="00B14764">
        <w:rPr>
          <w:rFonts w:ascii="Lato" w:hAnsi="Lato"/>
          <w:color w:val="000000"/>
          <w:sz w:val="28"/>
          <w:szCs w:val="28"/>
        </w:rPr>
        <w:t>. As </w:t>
      </w:r>
      <w:r w:rsidRPr="00B14764">
        <w:rPr>
          <w:rStyle w:val="Forte"/>
          <w:rFonts w:ascii="Lato" w:hAnsi="Lato"/>
          <w:color w:val="000000"/>
          <w:sz w:val="28"/>
          <w:szCs w:val="28"/>
          <w:u w:val="single"/>
        </w:rPr>
        <w:t>principais infrações</w:t>
      </w:r>
      <w:r w:rsidRPr="00B14764">
        <w:rPr>
          <w:rFonts w:ascii="Lato" w:hAnsi="Lato"/>
          <w:color w:val="000000"/>
          <w:sz w:val="28"/>
          <w:szCs w:val="28"/>
        </w:rPr>
        <w:t> verificadas foram </w:t>
      </w:r>
      <w:r w:rsidRPr="00B14764">
        <w:rPr>
          <w:rStyle w:val="Forte"/>
          <w:rFonts w:ascii="Lato" w:hAnsi="Lato"/>
          <w:color w:val="000000"/>
          <w:sz w:val="28"/>
          <w:szCs w:val="28"/>
        </w:rPr>
        <w:t>géneros alimentícios falsificados por adição de substâncias não autorizadas, irregularidades de rotulagem e ausência de notificação de suplementos alimentares</w:t>
      </w:r>
      <w:r w:rsidRPr="00B14764">
        <w:rPr>
          <w:rFonts w:ascii="Lato" w:hAnsi="Lato"/>
          <w:color w:val="000000"/>
          <w:sz w:val="28"/>
          <w:szCs w:val="28"/>
        </w:rPr>
        <w:t> à autoridade competente.</w:t>
      </w:r>
    </w:p>
    <w:p w14:paraId="7A9E534A" w14:textId="77777777" w:rsidR="00B14764" w:rsidRPr="00B14764" w:rsidRDefault="00B14764" w:rsidP="00D3205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Lato" w:hAnsi="Lato"/>
          <w:color w:val="000000"/>
          <w:sz w:val="28"/>
          <w:szCs w:val="28"/>
        </w:rPr>
      </w:pPr>
    </w:p>
    <w:p w14:paraId="3E19CCED" w14:textId="77777777" w:rsidR="00D32058" w:rsidRPr="00D32058" w:rsidRDefault="00D32058">
      <w:pPr>
        <w:rPr>
          <w:sz w:val="56"/>
          <w:szCs w:val="56"/>
        </w:rPr>
      </w:pPr>
    </w:p>
    <w:sectPr w:rsidR="00D32058" w:rsidRPr="00D32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646C3"/>
    <w:multiLevelType w:val="multilevel"/>
    <w:tmpl w:val="EE6C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58"/>
    <w:rsid w:val="00497F44"/>
    <w:rsid w:val="005B09DB"/>
    <w:rsid w:val="00817CED"/>
    <w:rsid w:val="00B14764"/>
    <w:rsid w:val="00B909E7"/>
    <w:rsid w:val="00D3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8311"/>
  <w15:chartTrackingRefBased/>
  <w15:docId w15:val="{DDEDA4DA-C1B2-4DDC-8049-058F67C9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32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ter"/>
    <w:uiPriority w:val="9"/>
    <w:qFormat/>
    <w:rsid w:val="00D32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3205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32058"/>
    <w:rPr>
      <w:color w:val="605E5C"/>
      <w:shd w:val="clear" w:color="auto" w:fill="E1DFDD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D32058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D3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D32058"/>
    <w:rPr>
      <w:b/>
      <w:bCs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D32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">
    <w:name w:val="Emphasis"/>
    <w:basedOn w:val="Tipodeletrapredefinidodopargrafo"/>
    <w:uiPriority w:val="20"/>
    <w:qFormat/>
    <w:rsid w:val="00D320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12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.pt/pdf1sdip/2001/08/197A00/54525453.PDF" TargetMode="External"/><Relationship Id="rId13" Type="http://schemas.openxmlformats.org/officeDocument/2006/relationships/hyperlink" Target="https://dre.pt/application/file/58820011" TargetMode="External"/><Relationship Id="rId18" Type="http://schemas.openxmlformats.org/officeDocument/2006/relationships/hyperlink" Target="http://eur-lex.europa.eu/LexUriServ/LexUriServ.do?uri=OJ:L:2004:047:0001:0010:PT:PDF" TargetMode="External"/><Relationship Id="rId26" Type="http://schemas.openxmlformats.org/officeDocument/2006/relationships/hyperlink" Target="https://eur-lex.europa.eu/legal-content/PT/TXT/PDF/?uri=CELEX:32017L2103&amp;from=P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://dre.pt/pdf1sdip/1996/09/204a00/28992901.PDF" TargetMode="External"/><Relationship Id="rId12" Type="http://schemas.openxmlformats.org/officeDocument/2006/relationships/hyperlink" Target="https://dre.pt/application/file/25343821" TargetMode="External"/><Relationship Id="rId17" Type="http://schemas.openxmlformats.org/officeDocument/2006/relationships/hyperlink" Target="http://dre.pt/pdf1sdip/2009/10/19700/0750007523.pdf" TargetMode="External"/><Relationship Id="rId25" Type="http://schemas.openxmlformats.org/officeDocument/2006/relationships/hyperlink" Target="https://dre.pt/application/conteudo/118950627" TargetMode="External"/><Relationship Id="rId2" Type="http://schemas.openxmlformats.org/officeDocument/2006/relationships/styles" Target="styles.xml"/><Relationship Id="rId16" Type="http://schemas.openxmlformats.org/officeDocument/2006/relationships/hyperlink" Target="http://dre.pt/pdf1sdip/2004/04/102B00/26962697.PDF" TargetMode="External"/><Relationship Id="rId20" Type="http://schemas.openxmlformats.org/officeDocument/2006/relationships/hyperlink" Target="https://www.asae.gov.pt/newsletter2/asaenews-n-118-dezembro-2019/canhamo-cannabis-sativa-eou-cbd-canabidiol-em-alimentos.asp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re.pt/pdf1sdip/1993/01/018a00/02340252.PDF" TargetMode="External"/><Relationship Id="rId11" Type="http://schemas.openxmlformats.org/officeDocument/2006/relationships/hyperlink" Target="http://dre.pt/pdf1sdip/2009/05/09000/0276502781.pdf" TargetMode="External"/><Relationship Id="rId24" Type="http://schemas.openxmlformats.org/officeDocument/2006/relationships/hyperlink" Target="https://dre.pt/application/conteudo/619306" TargetMode="External"/><Relationship Id="rId5" Type="http://schemas.openxmlformats.org/officeDocument/2006/relationships/hyperlink" Target="https://www.asae.gov.pt/noticias-/noticias-on-line-2015/apreensao-no-concelho-da-lourinha.aspx" TargetMode="External"/><Relationship Id="rId15" Type="http://schemas.openxmlformats.org/officeDocument/2006/relationships/hyperlink" Target="http://dre.pt/pdf1sdip/1999/10/247B00/70777078.PDF" TargetMode="External"/><Relationship Id="rId23" Type="http://schemas.openxmlformats.org/officeDocument/2006/relationships/hyperlink" Target="https://dre.pt/application/conteudo/585178" TargetMode="External"/><Relationship Id="rId28" Type="http://schemas.openxmlformats.org/officeDocument/2006/relationships/hyperlink" Target="https://eur-lex.europa.eu/legal-content/PT/TXT/PDF/?uri=CELEX:32015R2283&amp;from=PT" TargetMode="External"/><Relationship Id="rId10" Type="http://schemas.openxmlformats.org/officeDocument/2006/relationships/hyperlink" Target="http://dre.pt/pdf1sdip/2003/01/012A00/01260126.PDF" TargetMode="External"/><Relationship Id="rId19" Type="http://schemas.openxmlformats.org/officeDocument/2006/relationships/hyperlink" Target="http://eur-lex.europa.eu/LexUriServ/LexUriServ.do?uri=OJ:L:2005:022:0001:0010:PT: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re.pt/pdf1sdip/2001/12/290A00/82888297.PDF" TargetMode="External"/><Relationship Id="rId14" Type="http://schemas.openxmlformats.org/officeDocument/2006/relationships/hyperlink" Target="http://dre.pt/pdf1sdip/1994/10/236b00/61836198.PDF" TargetMode="External"/><Relationship Id="rId22" Type="http://schemas.openxmlformats.org/officeDocument/2006/relationships/hyperlink" Target="https://eur-lex.europa.eu/legal-content/PT/TXT/PDF/?uri=CELEX:32013R1307&amp;from=PT" TargetMode="External"/><Relationship Id="rId27" Type="http://schemas.openxmlformats.org/officeDocument/2006/relationships/image" Target="media/image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Alves Miguel</dc:creator>
  <cp:keywords/>
  <dc:description/>
  <cp:lastModifiedBy>Antonio Alves Miguel</cp:lastModifiedBy>
  <cp:revision>5</cp:revision>
  <dcterms:created xsi:type="dcterms:W3CDTF">2021-03-01T22:07:00Z</dcterms:created>
  <dcterms:modified xsi:type="dcterms:W3CDTF">2021-03-01T22:42:00Z</dcterms:modified>
</cp:coreProperties>
</file>