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0FD" w:rsidRDefault="00C200FD" w:rsidP="00C200FD">
      <w:pPr>
        <w:pStyle w:val="Ttulo1"/>
      </w:pPr>
      <w:r>
        <w:t>Indíce</w:t>
      </w:r>
    </w:p>
    <w:p w:rsidR="00C200FD" w:rsidRPr="00C200FD" w:rsidRDefault="00C200FD" w:rsidP="00C200FD"/>
    <w:p w:rsidR="00C200FD" w:rsidRDefault="00C200FD" w:rsidP="00C200FD">
      <w:pPr>
        <w:autoSpaceDE w:val="0"/>
        <w:autoSpaceDN w:val="0"/>
        <w:adjustRightInd w:val="0"/>
        <w:spacing w:before="100" w:after="100" w:line="360" w:lineRule="auto"/>
        <w:ind w:firstLine="426"/>
        <w:jc w:val="both"/>
      </w:pPr>
      <w:r>
        <w:t>Prefácio</w:t>
      </w:r>
    </w:p>
    <w:p w:rsidR="00C200FD" w:rsidRPr="00C200FD" w:rsidRDefault="00C200FD" w:rsidP="00C200FD">
      <w:pPr>
        <w:autoSpaceDE w:val="0"/>
        <w:autoSpaceDN w:val="0"/>
        <w:adjustRightInd w:val="0"/>
        <w:spacing w:before="100" w:after="100" w:line="360" w:lineRule="auto"/>
        <w:ind w:firstLine="426"/>
        <w:jc w:val="both"/>
        <w:rPr>
          <w:b/>
        </w:rPr>
      </w:pPr>
      <w:r w:rsidRPr="00C200FD">
        <w:rPr>
          <w:b/>
        </w:rPr>
        <w:t>CAPÍTULO 1 - O SECTOR DOS CUIDADOS DE SAÚDE</w:t>
      </w:r>
    </w:p>
    <w:p w:rsidR="00C200FD" w:rsidRDefault="00C200FD" w:rsidP="00C200FD">
      <w:pPr>
        <w:autoSpaceDE w:val="0"/>
        <w:autoSpaceDN w:val="0"/>
        <w:adjustRightInd w:val="0"/>
        <w:spacing w:before="100" w:after="100" w:line="360" w:lineRule="auto"/>
        <w:ind w:firstLine="426"/>
        <w:jc w:val="both"/>
      </w:pPr>
      <w:r>
        <w:t>Introdução</w:t>
      </w:r>
    </w:p>
    <w:p w:rsidR="00C200FD" w:rsidRDefault="00C200FD" w:rsidP="00C200FD">
      <w:pPr>
        <w:autoSpaceDE w:val="0"/>
        <w:autoSpaceDN w:val="0"/>
        <w:adjustRightInd w:val="0"/>
        <w:spacing w:before="100" w:after="100" w:line="360" w:lineRule="auto"/>
        <w:ind w:firstLine="426"/>
        <w:jc w:val="both"/>
      </w:pPr>
      <w:r>
        <w:t>1.1- Porquê investir no sector?</w:t>
      </w:r>
    </w:p>
    <w:p w:rsidR="00C200FD" w:rsidRDefault="00C200FD" w:rsidP="00C200FD">
      <w:pPr>
        <w:autoSpaceDE w:val="0"/>
        <w:autoSpaceDN w:val="0"/>
        <w:adjustRightInd w:val="0"/>
        <w:spacing w:before="100" w:after="100" w:line="360" w:lineRule="auto"/>
        <w:ind w:firstLine="426"/>
        <w:jc w:val="both"/>
      </w:pPr>
      <w:r>
        <w:t>1.2 - As indústrias do sector dos cuidados de saúde</w:t>
      </w:r>
    </w:p>
    <w:p w:rsidR="00C200FD" w:rsidRDefault="00C200FD" w:rsidP="00C200FD">
      <w:pPr>
        <w:autoSpaceDE w:val="0"/>
        <w:autoSpaceDN w:val="0"/>
        <w:adjustRightInd w:val="0"/>
        <w:spacing w:before="100" w:after="100" w:line="360" w:lineRule="auto"/>
        <w:ind w:firstLine="426"/>
        <w:jc w:val="both"/>
      </w:pPr>
      <w:r>
        <w:t xml:space="preserve">  1.2.1 -Tecnologia médica</w:t>
      </w:r>
    </w:p>
    <w:p w:rsidR="00C200FD" w:rsidRDefault="00C200FD" w:rsidP="00C200FD">
      <w:pPr>
        <w:autoSpaceDE w:val="0"/>
        <w:autoSpaceDN w:val="0"/>
        <w:adjustRightInd w:val="0"/>
        <w:spacing w:before="100" w:after="100" w:line="360" w:lineRule="auto"/>
        <w:ind w:firstLine="426"/>
        <w:jc w:val="both"/>
      </w:pPr>
      <w:r>
        <w:t xml:space="preserve">  1.2.2 - Serviços de saúde</w:t>
      </w:r>
    </w:p>
    <w:p w:rsidR="00C200FD" w:rsidRDefault="00C200FD" w:rsidP="00C200FD">
      <w:pPr>
        <w:autoSpaceDE w:val="0"/>
        <w:autoSpaceDN w:val="0"/>
        <w:adjustRightInd w:val="0"/>
        <w:spacing w:before="100" w:after="100" w:line="360" w:lineRule="auto"/>
        <w:ind w:firstLine="426"/>
        <w:jc w:val="both"/>
      </w:pPr>
      <w:r>
        <w:t xml:space="preserve">    1.2.2.1 - Seguradoras</w:t>
      </w:r>
    </w:p>
    <w:p w:rsidR="00C200FD" w:rsidRDefault="00C200FD" w:rsidP="00C200FD">
      <w:pPr>
        <w:autoSpaceDE w:val="0"/>
        <w:autoSpaceDN w:val="0"/>
        <w:adjustRightInd w:val="0"/>
        <w:spacing w:before="100" w:after="100" w:line="360" w:lineRule="auto"/>
        <w:ind w:firstLine="426"/>
        <w:jc w:val="both"/>
      </w:pPr>
      <w:r>
        <w:t xml:space="preserve">  1.2.3 - Tecnologias de informação médica</w:t>
      </w:r>
    </w:p>
    <w:p w:rsidR="00C200FD" w:rsidRDefault="00C200FD" w:rsidP="00C200FD">
      <w:pPr>
        <w:autoSpaceDE w:val="0"/>
        <w:autoSpaceDN w:val="0"/>
        <w:adjustRightInd w:val="0"/>
        <w:spacing w:before="100" w:after="100" w:line="360" w:lineRule="auto"/>
        <w:ind w:firstLine="426"/>
        <w:jc w:val="both"/>
      </w:pPr>
      <w:r>
        <w:t xml:space="preserve">  1.2.4 - Distribuição farmacêutica e PBM's</w:t>
      </w:r>
    </w:p>
    <w:p w:rsidR="00C200FD" w:rsidRDefault="00C200FD" w:rsidP="00C200FD">
      <w:pPr>
        <w:autoSpaceDE w:val="0"/>
        <w:autoSpaceDN w:val="0"/>
        <w:adjustRightInd w:val="0"/>
        <w:spacing w:before="100" w:after="100" w:line="360" w:lineRule="auto"/>
        <w:ind w:firstLine="426"/>
        <w:jc w:val="both"/>
      </w:pPr>
      <w:r>
        <w:t xml:space="preserve">  1.2.5 - As restantes indústrias</w:t>
      </w:r>
    </w:p>
    <w:p w:rsidR="00C200FD" w:rsidRDefault="00C200FD" w:rsidP="00C200FD">
      <w:pPr>
        <w:autoSpaceDE w:val="0"/>
        <w:autoSpaceDN w:val="0"/>
        <w:adjustRightInd w:val="0"/>
        <w:spacing w:before="100" w:after="100" w:line="360" w:lineRule="auto"/>
        <w:ind w:firstLine="426"/>
        <w:jc w:val="both"/>
      </w:pPr>
      <w:r>
        <w:t xml:space="preserve">  1.2.6 - Indústria farmacêutica</w:t>
      </w:r>
    </w:p>
    <w:p w:rsidR="00C200FD" w:rsidRDefault="00C200FD" w:rsidP="00C200FD">
      <w:pPr>
        <w:autoSpaceDE w:val="0"/>
        <w:autoSpaceDN w:val="0"/>
        <w:adjustRightInd w:val="0"/>
        <w:spacing w:before="100" w:after="100" w:line="360" w:lineRule="auto"/>
        <w:ind w:firstLine="426"/>
        <w:jc w:val="both"/>
      </w:pPr>
      <w:r>
        <w:t xml:space="preserve">  1.2.7 -Indústria biotecnológica</w:t>
      </w:r>
    </w:p>
    <w:p w:rsidR="00C200FD" w:rsidRDefault="00C200FD" w:rsidP="00C200FD">
      <w:pPr>
        <w:autoSpaceDE w:val="0"/>
        <w:autoSpaceDN w:val="0"/>
        <w:adjustRightInd w:val="0"/>
        <w:spacing w:before="100" w:after="100" w:line="360" w:lineRule="auto"/>
        <w:ind w:firstLine="426"/>
        <w:jc w:val="both"/>
      </w:pPr>
      <w:r>
        <w:t>1.3 - Impacto sócio-económico</w:t>
      </w:r>
    </w:p>
    <w:p w:rsidR="00C200FD" w:rsidRDefault="00C200FD" w:rsidP="00C200FD">
      <w:pPr>
        <w:autoSpaceDE w:val="0"/>
        <w:autoSpaceDN w:val="0"/>
        <w:adjustRightInd w:val="0"/>
        <w:spacing w:before="100" w:after="100" w:line="360" w:lineRule="auto"/>
        <w:ind w:firstLine="0"/>
        <w:jc w:val="both"/>
      </w:pPr>
    </w:p>
    <w:p w:rsidR="00C200FD" w:rsidRPr="00C200FD" w:rsidRDefault="00C200FD" w:rsidP="00C200FD">
      <w:pPr>
        <w:autoSpaceDE w:val="0"/>
        <w:autoSpaceDN w:val="0"/>
        <w:adjustRightInd w:val="0"/>
        <w:spacing w:before="100" w:after="100" w:line="360" w:lineRule="auto"/>
        <w:ind w:firstLine="426"/>
        <w:jc w:val="both"/>
        <w:rPr>
          <w:b/>
        </w:rPr>
      </w:pPr>
      <w:r w:rsidRPr="00C200FD">
        <w:rPr>
          <w:b/>
        </w:rPr>
        <w:t>CAPÍTULO 2 - FASES DE DESENVOLVIMENTO</w:t>
      </w:r>
    </w:p>
    <w:p w:rsidR="00C200FD" w:rsidRDefault="00C200FD" w:rsidP="00C200FD">
      <w:pPr>
        <w:autoSpaceDE w:val="0"/>
        <w:autoSpaceDN w:val="0"/>
        <w:adjustRightInd w:val="0"/>
        <w:spacing w:before="100" w:after="100" w:line="360" w:lineRule="auto"/>
        <w:ind w:firstLine="426"/>
        <w:jc w:val="both"/>
      </w:pPr>
      <w:r>
        <w:t>2.1- Introdução</w:t>
      </w:r>
    </w:p>
    <w:p w:rsidR="00C200FD" w:rsidRDefault="00C200FD" w:rsidP="00C200FD">
      <w:pPr>
        <w:autoSpaceDE w:val="0"/>
        <w:autoSpaceDN w:val="0"/>
        <w:adjustRightInd w:val="0"/>
        <w:spacing w:before="100" w:after="100" w:line="360" w:lineRule="auto"/>
        <w:ind w:firstLine="426"/>
        <w:jc w:val="both"/>
      </w:pPr>
      <w:r>
        <w:t>2.2 - Pesquisa e desenvolvimento de um fármaco</w:t>
      </w:r>
    </w:p>
    <w:p w:rsidR="00C200FD" w:rsidRDefault="00C200FD" w:rsidP="00C200FD">
      <w:pPr>
        <w:autoSpaceDE w:val="0"/>
        <w:autoSpaceDN w:val="0"/>
        <w:adjustRightInd w:val="0"/>
        <w:spacing w:before="100" w:after="100" w:line="360" w:lineRule="auto"/>
        <w:ind w:firstLine="426"/>
        <w:jc w:val="both"/>
      </w:pPr>
      <w:r>
        <w:t xml:space="preserve">  2.2.1 -Descoberta</w:t>
      </w:r>
    </w:p>
    <w:p w:rsidR="00C200FD" w:rsidRDefault="00C200FD" w:rsidP="00C200FD">
      <w:pPr>
        <w:autoSpaceDE w:val="0"/>
        <w:autoSpaceDN w:val="0"/>
        <w:adjustRightInd w:val="0"/>
        <w:spacing w:before="100" w:after="100" w:line="360" w:lineRule="auto"/>
        <w:ind w:firstLine="426"/>
        <w:jc w:val="both"/>
      </w:pPr>
      <w:r>
        <w:t xml:space="preserve">  2.2.2 - Fase pré-clínica</w:t>
      </w:r>
    </w:p>
    <w:p w:rsidR="00C200FD" w:rsidRDefault="00C200FD" w:rsidP="00C200FD">
      <w:pPr>
        <w:autoSpaceDE w:val="0"/>
        <w:autoSpaceDN w:val="0"/>
        <w:adjustRightInd w:val="0"/>
        <w:spacing w:before="100" w:after="100" w:line="360" w:lineRule="auto"/>
        <w:ind w:firstLine="426"/>
        <w:jc w:val="both"/>
      </w:pPr>
      <w:r>
        <w:t xml:space="preserve">  2.2.3 - Ensaios clínicos " Clinical Trials"</w:t>
      </w:r>
    </w:p>
    <w:p w:rsidR="00C200FD" w:rsidRDefault="00C200FD" w:rsidP="00C200FD">
      <w:pPr>
        <w:autoSpaceDE w:val="0"/>
        <w:autoSpaceDN w:val="0"/>
        <w:adjustRightInd w:val="0"/>
        <w:spacing w:before="100" w:after="100" w:line="360" w:lineRule="auto"/>
        <w:ind w:firstLine="426"/>
        <w:jc w:val="both"/>
      </w:pPr>
      <w:r>
        <w:t xml:space="preserve">  2.2.4 - Protocolo de ensaios clínicos e a sua importância para o investidor</w:t>
      </w:r>
    </w:p>
    <w:p w:rsidR="00C200FD" w:rsidRDefault="00C200FD" w:rsidP="00E90AE8">
      <w:pPr>
        <w:autoSpaceDE w:val="0"/>
        <w:autoSpaceDN w:val="0"/>
        <w:adjustRightInd w:val="0"/>
        <w:spacing w:before="100" w:after="100" w:line="360" w:lineRule="auto"/>
        <w:ind w:firstLine="426"/>
        <w:jc w:val="both"/>
      </w:pPr>
      <w:r>
        <w:t xml:space="preserve">  2.2.5 - Riscos e probabilidades associadas à fase clínica</w:t>
      </w:r>
    </w:p>
    <w:p w:rsidR="00C200FD" w:rsidRPr="00C200FD" w:rsidRDefault="00C200FD" w:rsidP="00C200FD">
      <w:pPr>
        <w:autoSpaceDE w:val="0"/>
        <w:autoSpaceDN w:val="0"/>
        <w:adjustRightInd w:val="0"/>
        <w:spacing w:before="100" w:after="100" w:line="360" w:lineRule="auto"/>
        <w:ind w:firstLine="426"/>
        <w:jc w:val="both"/>
        <w:rPr>
          <w:lang w:val="en-US"/>
        </w:rPr>
      </w:pPr>
      <w:r w:rsidRPr="00C200FD">
        <w:rPr>
          <w:lang w:val="en-US"/>
        </w:rPr>
        <w:t>2.3 - Casos especiais</w:t>
      </w:r>
    </w:p>
    <w:p w:rsidR="00C200FD" w:rsidRPr="00C200FD" w:rsidRDefault="00C200FD" w:rsidP="00C200FD">
      <w:pPr>
        <w:autoSpaceDE w:val="0"/>
        <w:autoSpaceDN w:val="0"/>
        <w:adjustRightInd w:val="0"/>
        <w:spacing w:before="100" w:after="100" w:line="360" w:lineRule="auto"/>
        <w:ind w:firstLine="426"/>
        <w:jc w:val="both"/>
        <w:rPr>
          <w:lang w:val="en-US"/>
        </w:rPr>
      </w:pPr>
      <w:r w:rsidRPr="00C200FD">
        <w:rPr>
          <w:lang w:val="en-US"/>
        </w:rPr>
        <w:t xml:space="preserve">  2.3.1 - Fast Track</w:t>
      </w:r>
    </w:p>
    <w:p w:rsidR="00C200FD" w:rsidRPr="00C200FD" w:rsidRDefault="00C200FD" w:rsidP="00C200FD">
      <w:pPr>
        <w:autoSpaceDE w:val="0"/>
        <w:autoSpaceDN w:val="0"/>
        <w:adjustRightInd w:val="0"/>
        <w:spacing w:before="100" w:after="100" w:line="360" w:lineRule="auto"/>
        <w:ind w:firstLine="426"/>
        <w:jc w:val="both"/>
        <w:rPr>
          <w:lang w:val="en-US"/>
        </w:rPr>
      </w:pPr>
      <w:r w:rsidRPr="00C200FD">
        <w:rPr>
          <w:lang w:val="en-US"/>
        </w:rPr>
        <w:lastRenderedPageBreak/>
        <w:t xml:space="preserve">  2.3.2 - Accelerated approval</w:t>
      </w:r>
    </w:p>
    <w:p w:rsidR="00C200FD" w:rsidRDefault="00C200FD" w:rsidP="00C200FD">
      <w:pPr>
        <w:autoSpaceDE w:val="0"/>
        <w:autoSpaceDN w:val="0"/>
        <w:adjustRightInd w:val="0"/>
        <w:spacing w:before="100" w:after="100" w:line="360" w:lineRule="auto"/>
        <w:ind w:firstLine="426"/>
        <w:jc w:val="both"/>
      </w:pPr>
      <w:r w:rsidRPr="00E90AE8">
        <w:rPr>
          <w:lang w:val="en-US"/>
        </w:rPr>
        <w:t xml:space="preserve">  </w:t>
      </w:r>
      <w:r>
        <w:t>2.3.3 - Priority review</w:t>
      </w:r>
    </w:p>
    <w:p w:rsidR="00C200FD" w:rsidRDefault="00C200FD" w:rsidP="00C200FD">
      <w:pPr>
        <w:autoSpaceDE w:val="0"/>
        <w:autoSpaceDN w:val="0"/>
        <w:adjustRightInd w:val="0"/>
        <w:spacing w:before="100" w:after="100" w:line="360" w:lineRule="auto"/>
        <w:ind w:firstLine="426"/>
        <w:jc w:val="both"/>
      </w:pPr>
      <w:r>
        <w:t>2.4 - Fase regulatória/processo regulatório</w:t>
      </w:r>
    </w:p>
    <w:p w:rsidR="00C200FD" w:rsidRDefault="00C200FD" w:rsidP="00C200FD">
      <w:pPr>
        <w:autoSpaceDE w:val="0"/>
        <w:autoSpaceDN w:val="0"/>
        <w:adjustRightInd w:val="0"/>
        <w:spacing w:before="100" w:after="100" w:line="360" w:lineRule="auto"/>
        <w:ind w:firstLine="426"/>
        <w:jc w:val="both"/>
      </w:pPr>
      <w:r>
        <w:t xml:space="preserve">  2.4.1 - Importância da rotulagem</w:t>
      </w:r>
    </w:p>
    <w:p w:rsidR="00C200FD" w:rsidRDefault="00C200FD" w:rsidP="00C200FD">
      <w:pPr>
        <w:autoSpaceDE w:val="0"/>
        <w:autoSpaceDN w:val="0"/>
        <w:adjustRightInd w:val="0"/>
        <w:spacing w:before="100" w:after="100" w:line="360" w:lineRule="auto"/>
        <w:ind w:firstLine="426"/>
        <w:jc w:val="both"/>
      </w:pPr>
      <w:r>
        <w:t xml:space="preserve">  2.4.2 - Métodos de produção</w:t>
      </w:r>
    </w:p>
    <w:p w:rsidR="00C200FD" w:rsidRDefault="00C200FD" w:rsidP="00C200FD">
      <w:pPr>
        <w:autoSpaceDE w:val="0"/>
        <w:autoSpaceDN w:val="0"/>
        <w:adjustRightInd w:val="0"/>
        <w:spacing w:before="100" w:after="100" w:line="360" w:lineRule="auto"/>
        <w:ind w:firstLine="426"/>
        <w:jc w:val="both"/>
      </w:pPr>
      <w:r>
        <w:t xml:space="preserve">  2.4.3 - Processo regulatório na União Europeia</w:t>
      </w:r>
    </w:p>
    <w:p w:rsidR="00C200FD" w:rsidRDefault="00C200FD" w:rsidP="00C200FD">
      <w:pPr>
        <w:autoSpaceDE w:val="0"/>
        <w:autoSpaceDN w:val="0"/>
        <w:adjustRightInd w:val="0"/>
        <w:spacing w:before="100" w:after="100" w:line="360" w:lineRule="auto"/>
        <w:ind w:firstLine="426"/>
        <w:jc w:val="both"/>
      </w:pPr>
      <w:r>
        <w:t xml:space="preserve">    2.4.3.1 - Autorização nacional</w:t>
      </w:r>
    </w:p>
    <w:p w:rsidR="00C200FD" w:rsidRDefault="00C200FD" w:rsidP="00C200FD">
      <w:pPr>
        <w:autoSpaceDE w:val="0"/>
        <w:autoSpaceDN w:val="0"/>
        <w:adjustRightInd w:val="0"/>
        <w:spacing w:before="100" w:after="100" w:line="360" w:lineRule="auto"/>
        <w:ind w:firstLine="426"/>
        <w:jc w:val="both"/>
      </w:pPr>
      <w:r>
        <w:t xml:space="preserve">    2.4.3.2 - Procedimento descentralizado</w:t>
      </w:r>
    </w:p>
    <w:p w:rsidR="00C200FD" w:rsidRDefault="00C200FD" w:rsidP="00C200FD">
      <w:pPr>
        <w:autoSpaceDE w:val="0"/>
        <w:autoSpaceDN w:val="0"/>
        <w:adjustRightInd w:val="0"/>
        <w:spacing w:before="100" w:after="100" w:line="360" w:lineRule="auto"/>
        <w:ind w:firstLine="426"/>
        <w:jc w:val="both"/>
      </w:pPr>
      <w:r>
        <w:t xml:space="preserve">    2.4.3.3 - Procedimento com reconhecimento mútuo</w:t>
      </w:r>
    </w:p>
    <w:p w:rsidR="00C200FD" w:rsidRDefault="00C200FD" w:rsidP="00C200FD">
      <w:pPr>
        <w:autoSpaceDE w:val="0"/>
        <w:autoSpaceDN w:val="0"/>
        <w:adjustRightInd w:val="0"/>
        <w:spacing w:before="100" w:after="100" w:line="360" w:lineRule="auto"/>
        <w:ind w:firstLine="426"/>
        <w:jc w:val="both"/>
      </w:pPr>
      <w:r>
        <w:t xml:space="preserve">    2.4.3.4 - Procedimento comunitário centralizado</w:t>
      </w:r>
    </w:p>
    <w:p w:rsidR="00C200FD" w:rsidRDefault="00C200FD" w:rsidP="00C200FD">
      <w:pPr>
        <w:autoSpaceDE w:val="0"/>
        <w:autoSpaceDN w:val="0"/>
        <w:adjustRightInd w:val="0"/>
        <w:spacing w:before="100" w:after="100" w:line="360" w:lineRule="auto"/>
        <w:ind w:firstLine="426"/>
        <w:jc w:val="both"/>
      </w:pPr>
      <w:r>
        <w:t>2.5 - Fase pós-aprovação (produto no mercado)</w:t>
      </w:r>
    </w:p>
    <w:p w:rsidR="00C200FD" w:rsidRDefault="00C200FD" w:rsidP="00C200FD">
      <w:pPr>
        <w:autoSpaceDE w:val="0"/>
        <w:autoSpaceDN w:val="0"/>
        <w:adjustRightInd w:val="0"/>
        <w:spacing w:before="100" w:after="100" w:line="360" w:lineRule="auto"/>
        <w:ind w:firstLine="426"/>
        <w:jc w:val="both"/>
      </w:pPr>
      <w:r>
        <w:t xml:space="preserve">  2.5.1 - Financiamento</w:t>
      </w:r>
    </w:p>
    <w:p w:rsidR="00C200FD" w:rsidRDefault="00C200FD" w:rsidP="00C200FD">
      <w:pPr>
        <w:autoSpaceDE w:val="0"/>
        <w:autoSpaceDN w:val="0"/>
        <w:adjustRightInd w:val="0"/>
        <w:spacing w:before="100" w:after="100" w:line="360" w:lineRule="auto"/>
        <w:ind w:firstLine="426"/>
        <w:jc w:val="both"/>
      </w:pPr>
      <w:r>
        <w:t xml:space="preserve">  2.5.2 - Equipa de gestão</w:t>
      </w:r>
    </w:p>
    <w:p w:rsidR="00C200FD" w:rsidRDefault="00C200FD" w:rsidP="00C200FD">
      <w:pPr>
        <w:autoSpaceDE w:val="0"/>
        <w:autoSpaceDN w:val="0"/>
        <w:adjustRightInd w:val="0"/>
        <w:spacing w:before="100" w:after="100" w:line="360" w:lineRule="auto"/>
        <w:ind w:firstLine="426"/>
        <w:jc w:val="both"/>
      </w:pPr>
      <w:r>
        <w:t xml:space="preserve">  2.5.3 - Fase IV - estudos adicionais</w:t>
      </w:r>
    </w:p>
    <w:p w:rsidR="00C200FD" w:rsidRDefault="00C200FD" w:rsidP="00C200FD">
      <w:pPr>
        <w:autoSpaceDE w:val="0"/>
        <w:autoSpaceDN w:val="0"/>
        <w:adjustRightInd w:val="0"/>
        <w:spacing w:before="100" w:after="100" w:line="360" w:lineRule="auto"/>
        <w:ind w:firstLine="426"/>
        <w:jc w:val="both"/>
      </w:pPr>
      <w:r>
        <w:t xml:space="preserve">  2.5.4 - Desafios pós-aprovação</w:t>
      </w:r>
    </w:p>
    <w:p w:rsidR="00C200FD" w:rsidRDefault="00C200FD" w:rsidP="00C200FD">
      <w:pPr>
        <w:autoSpaceDE w:val="0"/>
        <w:autoSpaceDN w:val="0"/>
        <w:adjustRightInd w:val="0"/>
        <w:spacing w:before="100" w:after="100" w:line="360" w:lineRule="auto"/>
        <w:ind w:firstLine="426"/>
        <w:jc w:val="both"/>
      </w:pPr>
      <w:r>
        <w:t xml:space="preserve">    2.5.4.1 - Controle de custos</w:t>
      </w:r>
    </w:p>
    <w:p w:rsidR="00C200FD" w:rsidRDefault="00C200FD" w:rsidP="00C200FD">
      <w:pPr>
        <w:autoSpaceDE w:val="0"/>
        <w:autoSpaceDN w:val="0"/>
        <w:adjustRightInd w:val="0"/>
        <w:spacing w:before="100" w:after="100" w:line="360" w:lineRule="auto"/>
        <w:ind w:firstLine="426"/>
        <w:jc w:val="both"/>
      </w:pPr>
      <w:r>
        <w:t xml:space="preserve">    2.5.4.2 - A propriedade intelectual</w:t>
      </w:r>
    </w:p>
    <w:p w:rsidR="00C200FD" w:rsidRDefault="00C200FD" w:rsidP="00C200FD">
      <w:pPr>
        <w:autoSpaceDE w:val="0"/>
        <w:autoSpaceDN w:val="0"/>
        <w:adjustRightInd w:val="0"/>
        <w:spacing w:before="100" w:after="100" w:line="360" w:lineRule="auto"/>
        <w:ind w:firstLine="426"/>
        <w:jc w:val="both"/>
      </w:pPr>
      <w:r>
        <w:t xml:space="preserve">    2.5.4.3 - Genéricos e biosimilares</w:t>
      </w:r>
    </w:p>
    <w:p w:rsidR="00C200FD" w:rsidRDefault="00C200FD" w:rsidP="00C200FD">
      <w:pPr>
        <w:autoSpaceDE w:val="0"/>
        <w:autoSpaceDN w:val="0"/>
        <w:adjustRightInd w:val="0"/>
        <w:spacing w:before="100" w:after="100" w:line="360" w:lineRule="auto"/>
        <w:ind w:firstLine="426"/>
        <w:jc w:val="both"/>
      </w:pPr>
      <w:r>
        <w:t xml:space="preserve">    2.5.4.4 - Adesão terapêutica</w:t>
      </w:r>
    </w:p>
    <w:p w:rsidR="00C200FD" w:rsidRDefault="00C200FD" w:rsidP="00C200FD">
      <w:pPr>
        <w:autoSpaceDE w:val="0"/>
        <w:autoSpaceDN w:val="0"/>
        <w:adjustRightInd w:val="0"/>
        <w:spacing w:before="100" w:after="100" w:line="360" w:lineRule="auto"/>
        <w:ind w:firstLine="426"/>
        <w:jc w:val="both"/>
      </w:pPr>
      <w:r>
        <w:t xml:space="preserve">    2.5.4.5 - Política de preços comparticipações</w:t>
      </w:r>
    </w:p>
    <w:p w:rsidR="00C200FD" w:rsidRDefault="00C200FD" w:rsidP="00C200FD">
      <w:pPr>
        <w:autoSpaceDE w:val="0"/>
        <w:autoSpaceDN w:val="0"/>
        <w:adjustRightInd w:val="0"/>
        <w:spacing w:before="100" w:after="100" w:line="360" w:lineRule="auto"/>
        <w:ind w:firstLine="426"/>
        <w:jc w:val="both"/>
      </w:pPr>
      <w:r>
        <w:t xml:space="preserve">    2.5.4.6 – Pipelines</w:t>
      </w:r>
    </w:p>
    <w:p w:rsidR="00C200FD" w:rsidRDefault="00C200FD" w:rsidP="00C200FD">
      <w:pPr>
        <w:autoSpaceDE w:val="0"/>
        <w:autoSpaceDN w:val="0"/>
        <w:adjustRightInd w:val="0"/>
        <w:spacing w:before="100" w:after="100" w:line="360" w:lineRule="auto"/>
        <w:ind w:firstLine="426"/>
        <w:jc w:val="both"/>
      </w:pPr>
    </w:p>
    <w:p w:rsidR="00C200FD" w:rsidRPr="00C200FD" w:rsidRDefault="00C200FD" w:rsidP="00C200FD">
      <w:pPr>
        <w:autoSpaceDE w:val="0"/>
        <w:autoSpaceDN w:val="0"/>
        <w:adjustRightInd w:val="0"/>
        <w:spacing w:before="100" w:after="100" w:line="360" w:lineRule="auto"/>
        <w:ind w:firstLine="426"/>
        <w:jc w:val="both"/>
        <w:rPr>
          <w:b/>
        </w:rPr>
      </w:pPr>
      <w:r w:rsidRPr="00C200FD">
        <w:rPr>
          <w:b/>
        </w:rPr>
        <w:t>CAPÍTULO 3 - MÉTODOS DE AVALIAÇÃO</w:t>
      </w:r>
    </w:p>
    <w:p w:rsidR="00C200FD" w:rsidRDefault="00C200FD" w:rsidP="00E90AE8">
      <w:pPr>
        <w:autoSpaceDE w:val="0"/>
        <w:autoSpaceDN w:val="0"/>
        <w:adjustRightInd w:val="0"/>
        <w:spacing w:before="100" w:after="100" w:line="360" w:lineRule="auto"/>
        <w:ind w:firstLine="426"/>
        <w:jc w:val="both"/>
      </w:pPr>
      <w:r>
        <w:t>3.1 - Método dos cash-flows atualizados</w:t>
      </w:r>
    </w:p>
    <w:p w:rsidR="00C200FD" w:rsidRDefault="00C200FD" w:rsidP="00C200FD">
      <w:pPr>
        <w:autoSpaceDE w:val="0"/>
        <w:autoSpaceDN w:val="0"/>
        <w:adjustRightInd w:val="0"/>
        <w:spacing w:before="100" w:after="100" w:line="360" w:lineRule="auto"/>
        <w:ind w:firstLine="426"/>
        <w:jc w:val="both"/>
      </w:pPr>
      <w:r>
        <w:t>3.2 - Avaliação de empresas Biofarmacêuticas</w:t>
      </w:r>
    </w:p>
    <w:p w:rsidR="00C200FD" w:rsidRDefault="00C200FD" w:rsidP="00C200FD">
      <w:pPr>
        <w:autoSpaceDE w:val="0"/>
        <w:autoSpaceDN w:val="0"/>
        <w:adjustRightInd w:val="0"/>
        <w:spacing w:before="100" w:after="100" w:line="360" w:lineRule="auto"/>
        <w:ind w:firstLine="426"/>
        <w:jc w:val="both"/>
      </w:pPr>
      <w:r>
        <w:t xml:space="preserve">  3.2.1 - VAL ajustado ao risco</w:t>
      </w:r>
    </w:p>
    <w:p w:rsidR="00C200FD" w:rsidRDefault="00C200FD" w:rsidP="00C200FD">
      <w:pPr>
        <w:autoSpaceDE w:val="0"/>
        <w:autoSpaceDN w:val="0"/>
        <w:adjustRightInd w:val="0"/>
        <w:spacing w:before="100" w:after="100" w:line="360" w:lineRule="auto"/>
        <w:ind w:firstLine="426"/>
        <w:jc w:val="both"/>
      </w:pPr>
      <w:r>
        <w:t xml:space="preserve">  3.2.2 - Rácios comparativos</w:t>
      </w:r>
    </w:p>
    <w:p w:rsidR="00C200FD" w:rsidRDefault="00C200FD" w:rsidP="00C200FD">
      <w:pPr>
        <w:autoSpaceDE w:val="0"/>
        <w:autoSpaceDN w:val="0"/>
        <w:adjustRightInd w:val="0"/>
        <w:spacing w:before="100" w:after="100" w:line="360" w:lineRule="auto"/>
        <w:ind w:firstLine="426"/>
        <w:jc w:val="both"/>
      </w:pPr>
      <w:r>
        <w:lastRenderedPageBreak/>
        <w:t xml:space="preserve">  3.2.3 - Outros métodos</w:t>
      </w:r>
    </w:p>
    <w:p w:rsidR="00C200FD" w:rsidRDefault="00C200FD" w:rsidP="00C200FD">
      <w:pPr>
        <w:autoSpaceDE w:val="0"/>
        <w:autoSpaceDN w:val="0"/>
        <w:adjustRightInd w:val="0"/>
        <w:spacing w:before="100" w:after="100" w:line="360" w:lineRule="auto"/>
        <w:ind w:firstLine="426"/>
        <w:jc w:val="both"/>
      </w:pPr>
      <w:r>
        <w:t>3.3 - Cash-burn rate e outras considerações</w:t>
      </w: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r>
        <w:t>NOTAS FINAIS E TENDÊNCIAS FUTURAS</w:t>
      </w:r>
    </w:p>
    <w:p w:rsidR="00C200FD" w:rsidRDefault="00C200FD" w:rsidP="00C200FD">
      <w:pPr>
        <w:autoSpaceDE w:val="0"/>
        <w:autoSpaceDN w:val="0"/>
        <w:adjustRightInd w:val="0"/>
        <w:spacing w:before="100" w:after="100" w:line="360" w:lineRule="auto"/>
        <w:ind w:firstLine="426"/>
        <w:jc w:val="both"/>
      </w:pPr>
      <w:r>
        <w:t>Referências bibliográficas</w:t>
      </w:r>
    </w:p>
    <w:p w:rsidR="00C200FD" w:rsidRDefault="00C200FD" w:rsidP="00C200FD">
      <w:pPr>
        <w:autoSpaceDE w:val="0"/>
        <w:autoSpaceDN w:val="0"/>
        <w:adjustRightInd w:val="0"/>
        <w:spacing w:before="100" w:after="100" w:line="360" w:lineRule="auto"/>
        <w:ind w:firstLine="426"/>
        <w:jc w:val="both"/>
      </w:pPr>
      <w:r>
        <w:t>Bibliografia</w:t>
      </w: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E90AE8" w:rsidRDefault="00E90AE8" w:rsidP="00C200FD">
      <w:pPr>
        <w:autoSpaceDE w:val="0"/>
        <w:autoSpaceDN w:val="0"/>
        <w:adjustRightInd w:val="0"/>
        <w:spacing w:before="100" w:after="100" w:line="360" w:lineRule="auto"/>
        <w:ind w:firstLine="426"/>
        <w:jc w:val="both"/>
      </w:pPr>
    </w:p>
    <w:p w:rsidR="00E90AE8" w:rsidRDefault="00E90AE8"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r>
        <w:lastRenderedPageBreak/>
        <w:t>1.2 – AS INDÚSTRIAS DO SETOR</w:t>
      </w:r>
    </w:p>
    <w:p w:rsidR="00C200FD" w:rsidRDefault="00C200FD" w:rsidP="00C200FD">
      <w:pPr>
        <w:autoSpaceDE w:val="0"/>
        <w:autoSpaceDN w:val="0"/>
        <w:adjustRightInd w:val="0"/>
        <w:spacing w:before="100" w:after="100" w:line="360" w:lineRule="auto"/>
        <w:ind w:firstLine="426"/>
        <w:jc w:val="both"/>
      </w:pPr>
      <w:r>
        <w:t xml:space="preserve"> </w:t>
      </w:r>
    </w:p>
    <w:p w:rsidR="00C200FD" w:rsidRDefault="00C200FD" w:rsidP="00C200FD">
      <w:pPr>
        <w:autoSpaceDE w:val="0"/>
        <w:autoSpaceDN w:val="0"/>
        <w:adjustRightInd w:val="0"/>
        <w:spacing w:before="100" w:after="100" w:line="360" w:lineRule="auto"/>
        <w:ind w:firstLine="426"/>
        <w:jc w:val="both"/>
      </w:pPr>
      <w:r>
        <w:t xml:space="preserve">  1.2.1 - TECNOLOGIA MÉDICA</w:t>
      </w:r>
    </w:p>
    <w:p w:rsidR="00C200FD" w:rsidRDefault="00C200FD" w:rsidP="00C200FD">
      <w:pPr>
        <w:autoSpaceDE w:val="0"/>
        <w:autoSpaceDN w:val="0"/>
        <w:adjustRightInd w:val="0"/>
        <w:spacing w:before="100" w:after="100" w:line="360" w:lineRule="auto"/>
        <w:ind w:firstLine="426"/>
        <w:jc w:val="both"/>
      </w:pPr>
      <w:r>
        <w:t xml:space="preserve"> Esta indústria caracteriza-se pelo espectro heterogéneo dos modelos de negócio que a constituem. Desde produtos temporários como cateteres, aos mais permanentes como </w:t>
      </w:r>
      <w:r w:rsidRPr="00C863F9">
        <w:rPr>
          <w:i/>
        </w:rPr>
        <w:t>stents</w:t>
      </w:r>
      <w:r>
        <w:t xml:space="preserve"> cardíacas; desde equipamentos implantáveis, como rótulas metálicas até aos produtos médicos mais avançados e dispendiosos, tais como, equipamentos de ressonância magnética ou robôs cirúrgicos; a indústria das tecnologias médicas procura dar resposta a todo o tipo de necessidades, seja no campo de intervenção cirúrgica, seja no campo da análise e diagnóstico.</w:t>
      </w:r>
    </w:p>
    <w:p w:rsidR="00C200FD" w:rsidRDefault="00C200FD" w:rsidP="00C200FD">
      <w:pPr>
        <w:autoSpaceDE w:val="0"/>
        <w:autoSpaceDN w:val="0"/>
        <w:adjustRightInd w:val="0"/>
        <w:spacing w:before="100" w:after="100" w:line="360" w:lineRule="auto"/>
        <w:ind w:firstLine="426"/>
        <w:jc w:val="both"/>
      </w:pPr>
      <w:r>
        <w:t xml:space="preserve"> Ao nível do processo de distribuição, podem ser distinguidas diversas alternativas, tais como: a venda por grosso; a venda de acordo com as necessidades específicas do paciente; a venda combinada de produtos que se completam; e, a venda associada a um determinado serviço, aquilo que na linguagem anglo-saxónica se define como modelos </w:t>
      </w:r>
      <w:r w:rsidRPr="00C863F9">
        <w:rPr>
          <w:i/>
        </w:rPr>
        <w:t>razor/razor blade</w:t>
      </w:r>
      <w:r>
        <w:t>, isto é, a venda de um equipamento com componentes descartáveis que vão sendo substituídos a cada procedimento médico-cirúrgico.</w:t>
      </w:r>
    </w:p>
    <w:p w:rsidR="00C200FD" w:rsidRDefault="00C200FD" w:rsidP="00C200FD">
      <w:pPr>
        <w:autoSpaceDE w:val="0"/>
        <w:autoSpaceDN w:val="0"/>
        <w:adjustRightInd w:val="0"/>
        <w:spacing w:before="100" w:after="100" w:line="360" w:lineRule="auto"/>
        <w:ind w:firstLine="426"/>
        <w:jc w:val="both"/>
      </w:pPr>
      <w:r>
        <w:t xml:space="preserve"> Um traço distintivo desta indústria, no contexto do setor dos cuidados de saúde, passa pelo facto de procurar visar problemas que na sua maioria são episódicos, ao passo que as restantes indústrias do setor baseiam o seu negócio no carácter crónico das doenças que afectam o seu público-alvo. Isso não significa que não existam necessidades crónicas que são identificadas e tratadas com recurso a equipamentos médicos, tal como caso dos </w:t>
      </w:r>
      <w:r w:rsidRPr="00C863F9">
        <w:rPr>
          <w:i/>
        </w:rPr>
        <w:t>pacemakers</w:t>
      </w:r>
      <w:r>
        <w:t xml:space="preserve"> usados no controlo de doenças cardíacas. Contudo, boa parte dos produtos resultantes da atividade desta indústria, procura fazer face a situações relacionadas com o diagnóstico e análise de patologias ou a intervenções cirúrgicas mais ou menos permanentes ou invasivas.</w:t>
      </w:r>
    </w:p>
    <w:p w:rsidR="00C200FD" w:rsidRDefault="00C200FD" w:rsidP="00C200FD">
      <w:pPr>
        <w:autoSpaceDE w:val="0"/>
        <w:autoSpaceDN w:val="0"/>
        <w:adjustRightInd w:val="0"/>
        <w:spacing w:before="100" w:after="100" w:line="360" w:lineRule="auto"/>
        <w:ind w:firstLine="426"/>
        <w:jc w:val="both"/>
      </w:pPr>
      <w:r>
        <w:t xml:space="preserve"> Enquanto investidores, existe um conjunto de características ao qual deveremos prestar particular atenção, e que, em última análise, exerce uma influência direta nas receitas das empresas envolvidas, bem como na cotação das suas ações. Uma vez que o público-alvo desta indústria é menor do que o do restante setor, quer ao nível de doentes afetados, quer ao nível de profissionais médicos envolvidos na atividade mais específica de análise, diagnóstico e cirurgia, também a estrutura de custos destas empresas diverge em relação às restantes, em particular no que a área comercial diz respeito. Assim, o </w:t>
      </w:r>
      <w:r>
        <w:lastRenderedPageBreak/>
        <w:t>acompanhamento da dimensão e eficácia da equipa comercial, nomeadamente da sua capacidade de converter um investimento nela efectuado em vendas efectivas, terá de fazer parte do processo de análise.</w:t>
      </w:r>
    </w:p>
    <w:p w:rsidR="00C200FD" w:rsidRDefault="00C200FD" w:rsidP="00C200FD">
      <w:pPr>
        <w:autoSpaceDE w:val="0"/>
        <w:autoSpaceDN w:val="0"/>
        <w:adjustRightInd w:val="0"/>
        <w:spacing w:before="100" w:after="100" w:line="360" w:lineRule="auto"/>
        <w:ind w:firstLine="426"/>
        <w:jc w:val="both"/>
      </w:pPr>
      <w:r>
        <w:t xml:space="preserve"> Um outro aspecto prende-se com o ciclo de adopção do produto. Correndo o risco de generalizar, até porque tal não sucede em 100% dos casos, existe ainda assim uma tendência clara relacionada com o facto de que quanto mais complexo for o produto/equipamento, maior será o tempo de adopção do mesmo pela comunidade médica. Existe também um risco evidente associado ao período, por vezes particularmente longo, entre o momento em que se define o alvo da venda e o momento em que venda realmente acontece. Contudo, como muitas vezes sucede, a este risco vem associada uma oportunidade. Ora, como a curva de aprendizagem relacionada com alguns destes produtos é muito extensa, como por exemplo no caso dos equipamentos médicos inovadores de alta tecnologia, também sucederá que quando a adopção (venda) do mesmo acontecer criar-se-á automaticamente uma barreira concorrencial à entrada. Se uma equipa médica ou um cirurgião despenderem tanto tempo e esforço em aprender e adaptar-se ao uso de determinado equipamento, não será muito provável que estejam dispostos a substituir esse produto por outro que exigirá todo um novo processo de aprendizagem. Um bom exemplo disso é o caso da empresa Intuitive Surgical (ISRG).</w:t>
      </w: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r>
        <w:t xml:space="preserve"> Existem ainda outros parâmetros que exercem particular impacto na atividade e nos resultados das empresas da indústria de tecnologia médica. Alguns destes parâmetros de análise serão discutidos em bastante mais profundidade mais à frente neste livro, mas fica desde já uma referência aos mesmos.</w:t>
      </w:r>
    </w:p>
    <w:p w:rsidR="00C200FD" w:rsidRDefault="00C200FD" w:rsidP="00C200FD">
      <w:pPr>
        <w:autoSpaceDE w:val="0"/>
        <w:autoSpaceDN w:val="0"/>
        <w:adjustRightInd w:val="0"/>
        <w:spacing w:before="100" w:after="100" w:line="360" w:lineRule="auto"/>
        <w:ind w:firstLine="426"/>
        <w:jc w:val="both"/>
      </w:pPr>
      <w:r>
        <w:t xml:space="preserve"> De cariz externo a cada empresa, quando analisada individualmente, questões relativas ao ambiente regulatório e à política de comparticipações exercem uma determinante influência na indústria, embora a mesma não seja tão fundamental, quer em grau, quer em abrangência, como a que se faz sentir nas restantes indústrias do setor. A política de comparticipações, nomeadamente as alterações que tem vindo a sofrer face ao ambiente político-económico global, e a forma como essas alterações influenciam a atividade das empresas do setor, serão analisadas em maior detalhe mais à frente. Contudo, no que ao ambiente regulatório diz respeito, é conveniente referir um ponto específico à indústria das tecnologias médicas.</w:t>
      </w:r>
    </w:p>
    <w:p w:rsidR="00C200FD" w:rsidRDefault="00C200FD" w:rsidP="00C200FD">
      <w:pPr>
        <w:autoSpaceDE w:val="0"/>
        <w:autoSpaceDN w:val="0"/>
        <w:adjustRightInd w:val="0"/>
        <w:spacing w:before="100" w:after="100" w:line="360" w:lineRule="auto"/>
        <w:ind w:firstLine="426"/>
        <w:jc w:val="both"/>
      </w:pPr>
      <w:r>
        <w:lastRenderedPageBreak/>
        <w:t xml:space="preserve"> O processo regulatório de aprovação de equipamentos médicos diverge consoante o grau de complexidade e sofisticação do equipamento em si. No caso dos E.U.A., entidade reguladora responsável pela aprovação e controlo de equipamentos médicos é a </w:t>
      </w:r>
      <w:r w:rsidRPr="005A6923">
        <w:rPr>
          <w:i/>
        </w:rPr>
        <w:t>Food and Drug Administration</w:t>
      </w:r>
      <w:r>
        <w:t xml:space="preserve"> (FDA), existindo duas variações do modo como a FDA exerce o seu poder regulatório. A primeira consiste num processo mais complicado, precisamente indicado para equipamentos médicos mais complexos e vitais (por exemplo, equipamentos directamente relacionados com suporte de vida). Estes equipamentos, designados de classe III, estão sujeitos a regras mais apertadas no que à análise de segurança e eficácia diz respeito. Para tal, a empresa necessita de solicitar uma aprovação prévia à entrada no mercado - </w:t>
      </w:r>
      <w:r w:rsidRPr="00C863F9">
        <w:rPr>
          <w:i/>
        </w:rPr>
        <w:t xml:space="preserve">pre-market approval </w:t>
      </w:r>
      <w:r>
        <w:t>(PMA) - junto da FDA. Este processo é semelhante ao utilizado pelas empresas farmacêuticas e biotecnológicas para aprovação dos seus fármacos</w:t>
      </w:r>
      <w:r>
        <w:rPr>
          <w:rStyle w:val="Refdenotaderodap"/>
        </w:rPr>
        <w:footnoteReference w:id="2"/>
      </w:r>
      <w:r>
        <w:t xml:space="preserve"> e será abordado em total detalhe em boa parte do segundo capítulo. Importa reter neste momento que o processo de aprovação para esta classe de equipamentos (classe III) é mais complexo, demorado e oneroso.</w:t>
      </w:r>
    </w:p>
    <w:p w:rsidR="00C200FD" w:rsidRDefault="00C200FD" w:rsidP="00C200FD">
      <w:pPr>
        <w:autoSpaceDE w:val="0"/>
        <w:autoSpaceDN w:val="0"/>
        <w:adjustRightInd w:val="0"/>
        <w:spacing w:before="100" w:after="100" w:line="360" w:lineRule="auto"/>
        <w:ind w:firstLine="426"/>
        <w:jc w:val="both"/>
      </w:pPr>
    </w:p>
    <w:p w:rsidR="00C200FD" w:rsidRDefault="00C200FD" w:rsidP="00C200FD">
      <w:pPr>
        <w:autoSpaceDE w:val="0"/>
        <w:autoSpaceDN w:val="0"/>
        <w:adjustRightInd w:val="0"/>
        <w:spacing w:before="100" w:after="100" w:line="360" w:lineRule="auto"/>
        <w:ind w:firstLine="426"/>
        <w:jc w:val="both"/>
      </w:pPr>
      <w:r>
        <w:t xml:space="preserve"> Para os restantes equipamentos, menos complexos e não-vitais, inseridos nas classes I e II, a FDA permite que o processo de aprovação seja marcadamente mais simples. Designados de processos 510(k), estes caracterizam-se pelo facto de bastar à empresa que pretende ver um novo produto aprovado (empresa patrocinadora ou </w:t>
      </w:r>
      <w:r w:rsidRPr="00074097">
        <w:rPr>
          <w:i/>
        </w:rPr>
        <w:t>sponsor</w:t>
      </w:r>
      <w:r>
        <w:t>) comparar o produto com equipamentos já existentes no mercado. Se tal comparação se demonstrar igualmente segura e eficaz, estarão abertas as portas para aprovação e comercialização do mesmo. Naturalmente, todo este processo se torna mais rápido, bem menos dispendioso e com bastante menor risco de investimento para as próprias empresas envolvidas. Tal como foi referido anteriormente, em boa medida devido a esta alternativa processual, o risco regulatório associado a esta indústria, pode em muitos dos casos, ser menor do que no restante setor. Estas maiores facilidades de aprovação têm um lado negativo, tornando-se evidente, que os equipamentos de classe I e II possuem um valor inferior aos equipamentos que necessitam de um processo aprovativo com a utilização de PMA's. Estes últimos, sendo mais difíceis de desenvolver e comercializar, acabam por beneficiar de uma posição competitiva mais forte quando eventualmente são aprovados.</w:t>
      </w:r>
    </w:p>
    <w:p w:rsidR="00C200FD" w:rsidRDefault="00C200FD" w:rsidP="00C200FD">
      <w:pPr>
        <w:autoSpaceDE w:val="0"/>
        <w:autoSpaceDN w:val="0"/>
        <w:adjustRightInd w:val="0"/>
        <w:spacing w:before="100" w:after="100" w:line="360" w:lineRule="auto"/>
        <w:ind w:firstLine="426"/>
        <w:jc w:val="both"/>
      </w:pPr>
      <w:r>
        <w:lastRenderedPageBreak/>
        <w:t xml:space="preserve"> Além destes dois parâmetros de análise, o ambiente regulatório e a política de comparticipações, existem ainda outros factores que definitivamente influenciam atividade desta indústria. Um dos quais, como não podia deixar de ser, passa pelo grau de inovação, não só da indústria em si, mas de todo o setor dos cuidados médicos. Note-se, que o fim último de todas as empresas das várias indústrias deste setor passa pela necessidade mais básica de proporcionar saúde e bem-estar. Existem várias formas de atingir este desígnio, umas complementam-se, como é o caso da análise genética personalizada que auxilia as indústrias farmacêuticas e biotecnológicas a tornarem os seus fármacos mais eficazes e seguros; ao passo que outras, acabam por competir entre si de forma direta. Um bom exemplo é o caso de um novo fármaco que torna mais eficaz o combate a uma determinada patologia cardíaca, acabando por evitar a necessidade de uma intervenção cirúrgica futura. Este carácter preventivo e competitivo de determinados fármacos pode constituir um risco para as empresas de equipamentos médicos, que verão a necessidade de utilização dos seus produtos diminuída. A competição/canibalização intra-setorial constitui, sem dúvidas, um parâmetro a ter em conta aquando da escolha de uma empresa como meio de investimento.</w:t>
      </w:r>
    </w:p>
    <w:p w:rsidR="00C200FD" w:rsidRDefault="00C200FD" w:rsidP="00C200FD">
      <w:pPr>
        <w:autoSpaceDE w:val="0"/>
        <w:autoSpaceDN w:val="0"/>
        <w:adjustRightInd w:val="0"/>
        <w:spacing w:before="100" w:after="100" w:line="360" w:lineRule="auto"/>
        <w:ind w:firstLine="426"/>
        <w:jc w:val="both"/>
      </w:pPr>
      <w:r>
        <w:t xml:space="preserve"> Embora existam autores que defendam que o risco de operador é o único risco específico e particular a esta indústria, não posso contudo partilhar tal visão tão redutora</w:t>
      </w:r>
      <w:r>
        <w:rPr>
          <w:rStyle w:val="Refdenotadefim"/>
        </w:rPr>
        <w:endnoteReference w:id="2"/>
      </w:r>
      <w:r>
        <w:t>. Risco de operador define-se como as diferenças de resultados que um mesmo equipamento médico pode ter em pacientes diferentes. Estas diferenças radicam no facto de muitos destes equipamentos necessitarem de intervenção de pessoal médico especializado. O carácter heterogéneo da intervenção humana no processo, faz com que a qualidade e eficiência de determinadas intervenções sejam díspares, consoante sejam efectuadas por pessoas mais ou menos capacitadas para o fazer. Embora não negue a existência deste risco, considero que tal é também verdade nas restantes indústrias. Aliás, este problema, apelidado nas indústrias farmacêuticas e biotecnológicas de aderência médica, tem vindo a ser cada vez mais estudado, em especial num contexto de diminuição dos custos globais de saúde. Quando um médico prescreve um determinado fármaco e o paciente acaba por não seguir a prescrição à risca, gera-se um desfasamento entre os resultados desse mesmo medicamento no ambiente controlado de um ensaio clínico e o contexto real. Este desfasamento, origina diferenças de eficácia, ou mesmo de segurança, que podem ter um impacto fortemente negativo na utilização de determinado fármaco.</w:t>
      </w:r>
    </w:p>
    <w:p w:rsidR="00C200FD" w:rsidRDefault="00C200FD" w:rsidP="00C200FD">
      <w:pPr>
        <w:autoSpaceDE w:val="0"/>
        <w:autoSpaceDN w:val="0"/>
        <w:adjustRightInd w:val="0"/>
        <w:spacing w:before="100" w:after="100" w:line="360" w:lineRule="auto"/>
        <w:ind w:firstLine="426"/>
        <w:jc w:val="both"/>
      </w:pPr>
      <w:r>
        <w:lastRenderedPageBreak/>
        <w:t xml:space="preserve"> Uma nota final para realçar o papel mais específico de algumas empresas desta indústria, que ao contrário das restantes, não têm como clientes dos seus produtos o doente, mas sim, as próprias empresas do setor. Trata-se de empresas envolvidas no desenvolvimento de equipamentos utilizados pelas restantes na sua atividade operacional. Exemplo disso é o caso dos microscópios electrónicos de nova geração, que constituem uma parte vital do processo de desenvolvimento de novos fármacos. Em regra, estas empresas são menos influenciadas por procedimentos regulatórios ou por políticas de comparticipação, mas ainda assim, e devido aos elevados custos de investimento envolvidos na aquisição dos equipamentos que vendem, vêem fatores macroeconómicos, como nível das taxas de juro, terem um papel preponderante na sua capacidade de gerar receitas. Interessante notar que este tipo de empresas costuma ser o primeiro a beneficiar de cada nova vaga de inovação. Anos após a “bolha” da internet ocorrida no início deste século, começou a falar-se cada vez mais de empresas que viam a sua atividade associada à nova </w:t>
      </w:r>
      <w:r w:rsidRPr="00FD6E6D">
        <w:rPr>
          <w:i/>
        </w:rPr>
        <w:t>buzzword</w:t>
      </w:r>
      <w:r>
        <w:t xml:space="preserve"> da moda, a Nanotecnologia. Durante algum tempo, até que os investidores se apercebessem que sem produtos, e consequentemente sem receitas, se torna muito difícil conseguir-se avaliações permanentemente altas, toda e qualquer empresa que ao seu nome ou atividade tivesse associado prefixo “nano”, via a sua capitalização bolsista disparar. Depois de um período de euforia, já com muitas destas nano-empresas fora do mercado (ou com avaliações mais consentâneas com a realidade dos factos), tornou-se evidente que quem realmente ganhou com a “moda” foi o conjunto de empresas que lhes forneciam os equipamentos. Caso para relembrar o velho adágio do tempo da corrida ao ouro, quando o investimento mais sólido passava pelas lojas que vendiam picaretas e material de prospecção e não pelos mineiros em si.</w:t>
      </w:r>
    </w:p>
    <w:p w:rsidR="00C200FD" w:rsidRDefault="00C200FD" w:rsidP="00C200FD">
      <w:pPr>
        <w:autoSpaceDE w:val="0"/>
        <w:autoSpaceDN w:val="0"/>
        <w:adjustRightInd w:val="0"/>
        <w:spacing w:before="100" w:after="100" w:line="360" w:lineRule="auto"/>
        <w:ind w:firstLine="426"/>
        <w:jc w:val="both"/>
      </w:pPr>
      <w:r>
        <w:t xml:space="preserve"> Futuramente, continuo a ver esta indústria como uma aposta de menor risco no setor e, curiosamente, talvez com incrementadas possibilidades de aquisições extra-setoriais. A miniaturização do hardware, mesmo à escala nanométrica, bem como as cada vez maiores sinergias entre indústria médica e as novas tecnologias, deverá levar a que a relativo curto-prazo possamos ter acesso a equipamentos que conjuguem estas duas vertentes. Atualmente, já não é considerado utópico, ou algo retirado de um filme de ficção científica, a possibilidade de monitorizar em tempo real várias características fisiológicas e mecânicas do corpo humano. Esta interseção de ciências, alicerçada no facto de vários gigantes tecnológicos estarem literalmente “sentados” em pilhas de dinheiro, poderá levar à realização de um cada vez maior número de aquisições dentro </w:t>
      </w:r>
      <w:r>
        <w:lastRenderedPageBreak/>
        <w:t>da indústria das tecnologias médicas, criando novos gigantes no setor tecnológico. Os investidores mais atentos, além da contínua monitorização dos parâmetros anteriormente referidos, deverão também ter este novo paradigma em linha de conta, aquando das suas decisões de investimento nesta indústria.</w:t>
      </w:r>
    </w:p>
    <w:p w:rsidR="00841F9F" w:rsidRDefault="00841F9F"/>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p w:rsidR="00C200FD" w:rsidRDefault="00C200FD"/>
    <w:sectPr w:rsidR="00C200FD" w:rsidSect="00841F9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A26" w:rsidRDefault="00D77A26" w:rsidP="00C200FD">
      <w:pPr>
        <w:spacing w:after="0" w:line="240" w:lineRule="auto"/>
      </w:pPr>
      <w:r>
        <w:separator/>
      </w:r>
    </w:p>
  </w:endnote>
  <w:endnote w:type="continuationSeparator" w:id="1">
    <w:p w:rsidR="00D77A26" w:rsidRDefault="00D77A26" w:rsidP="00C200FD">
      <w:pPr>
        <w:spacing w:after="0" w:line="240" w:lineRule="auto"/>
      </w:pPr>
      <w:r>
        <w:continuationSeparator/>
      </w:r>
    </w:p>
  </w:endnote>
  <w:endnote w:id="2">
    <w:p w:rsidR="00C200FD" w:rsidRPr="00E0185C" w:rsidRDefault="00C200FD" w:rsidP="00C200FD">
      <w:pPr>
        <w:pStyle w:val="Textodenotadefim"/>
        <w:rPr>
          <w:lang w:val="en-US"/>
        </w:rPr>
      </w:pPr>
      <w:r>
        <w:rPr>
          <w:rStyle w:val="Refdenotadefim"/>
        </w:rPr>
        <w:endnoteRef/>
      </w:r>
      <w:r w:rsidRPr="00E0185C">
        <w:rPr>
          <w:lang w:val="en-US"/>
        </w:rPr>
        <w:t xml:space="preserve"> Funtleyder, Les. – “</w:t>
      </w:r>
      <w:r w:rsidRPr="00BC023F">
        <w:rPr>
          <w:i/>
          <w:lang w:val="en-US"/>
        </w:rPr>
        <w:t>Healthcare Investing: Profiting from the new world of pharma, biotech and health care services</w:t>
      </w:r>
      <w:r w:rsidRPr="00E0185C">
        <w:rPr>
          <w:lang w:val="en-US"/>
        </w:rPr>
        <w:t xml:space="preserve">” – McGraw-Hill Finance &amp; Investing </w:t>
      </w:r>
      <w:r>
        <w:rPr>
          <w:lang w:val="en-US"/>
        </w:rPr>
        <w:t>–</w:t>
      </w:r>
      <w:r w:rsidRPr="00E0185C">
        <w:rPr>
          <w:lang w:val="en-US"/>
        </w:rPr>
        <w:t xml:space="preserve"> 2008</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A26" w:rsidRDefault="00D77A26" w:rsidP="00C200FD">
      <w:pPr>
        <w:spacing w:after="0" w:line="240" w:lineRule="auto"/>
      </w:pPr>
      <w:r>
        <w:separator/>
      </w:r>
    </w:p>
  </w:footnote>
  <w:footnote w:type="continuationSeparator" w:id="1">
    <w:p w:rsidR="00D77A26" w:rsidRDefault="00D77A26" w:rsidP="00C200FD">
      <w:pPr>
        <w:spacing w:after="0" w:line="240" w:lineRule="auto"/>
      </w:pPr>
      <w:r>
        <w:continuationSeparator/>
      </w:r>
    </w:p>
  </w:footnote>
  <w:footnote w:id="2">
    <w:p w:rsidR="00C200FD" w:rsidRDefault="00C200FD" w:rsidP="00C200FD">
      <w:pPr>
        <w:pStyle w:val="Textodenotaderodap"/>
      </w:pPr>
      <w:r>
        <w:rPr>
          <w:rStyle w:val="Refdenotaderodap"/>
        </w:rPr>
        <w:footnoteRef/>
      </w:r>
      <w:r>
        <w:t xml:space="preserve"> Envolvendo ensaios clínicos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200FD"/>
    <w:rsid w:val="006F4E4E"/>
    <w:rsid w:val="008138F0"/>
    <w:rsid w:val="00841F9F"/>
    <w:rsid w:val="00C200FD"/>
    <w:rsid w:val="00D77A26"/>
    <w:rsid w:val="00E90AE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FD"/>
    <w:pPr>
      <w:ind w:firstLine="567"/>
    </w:pPr>
    <w:rPr>
      <w:rFonts w:ascii="Times New Roman" w:eastAsiaTheme="minorEastAsia" w:hAnsi="Times New Roman" w:cs="Times New Roman"/>
      <w:sz w:val="24"/>
      <w:szCs w:val="24"/>
      <w:lang w:eastAsia="pt-PT"/>
    </w:rPr>
  </w:style>
  <w:style w:type="paragraph" w:styleId="Ttulo1">
    <w:name w:val="heading 1"/>
    <w:basedOn w:val="Normal"/>
    <w:next w:val="Normal"/>
    <w:link w:val="Ttulo1Carcter"/>
    <w:uiPriority w:val="9"/>
    <w:qFormat/>
    <w:rsid w:val="00C200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cter"/>
    <w:uiPriority w:val="99"/>
    <w:semiHidden/>
    <w:unhideWhenUsed/>
    <w:rsid w:val="00C200FD"/>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C200FD"/>
    <w:rPr>
      <w:rFonts w:ascii="Times New Roman" w:eastAsiaTheme="minorEastAsia" w:hAnsi="Times New Roman" w:cs="Times New Roman"/>
      <w:sz w:val="20"/>
      <w:szCs w:val="20"/>
      <w:lang w:eastAsia="pt-PT"/>
    </w:rPr>
  </w:style>
  <w:style w:type="character" w:styleId="Refdenotadefim">
    <w:name w:val="endnote reference"/>
    <w:basedOn w:val="Tipodeletrapredefinidodopargrafo"/>
    <w:uiPriority w:val="99"/>
    <w:semiHidden/>
    <w:unhideWhenUsed/>
    <w:rsid w:val="00C200FD"/>
    <w:rPr>
      <w:vertAlign w:val="superscript"/>
    </w:rPr>
  </w:style>
  <w:style w:type="paragraph" w:styleId="Textodenotaderodap">
    <w:name w:val="footnote text"/>
    <w:basedOn w:val="Normal"/>
    <w:link w:val="TextodenotaderodapCarcter"/>
    <w:uiPriority w:val="99"/>
    <w:semiHidden/>
    <w:unhideWhenUsed/>
    <w:rsid w:val="00C200FD"/>
    <w:pPr>
      <w:spacing w:after="0"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C200FD"/>
    <w:rPr>
      <w:rFonts w:ascii="Times New Roman" w:eastAsiaTheme="minorEastAsia" w:hAnsi="Times New Roman" w:cs="Times New Roman"/>
      <w:sz w:val="20"/>
      <w:szCs w:val="20"/>
      <w:lang w:eastAsia="pt-PT"/>
    </w:rPr>
  </w:style>
  <w:style w:type="character" w:styleId="Refdenotaderodap">
    <w:name w:val="footnote reference"/>
    <w:basedOn w:val="Tipodeletrapredefinidodopargrafo"/>
    <w:uiPriority w:val="99"/>
    <w:semiHidden/>
    <w:unhideWhenUsed/>
    <w:rsid w:val="00C200FD"/>
    <w:rPr>
      <w:vertAlign w:val="superscript"/>
    </w:rPr>
  </w:style>
  <w:style w:type="character" w:customStyle="1" w:styleId="Ttulo1Carcter">
    <w:name w:val="Título 1 Carácter"/>
    <w:basedOn w:val="Tipodeletrapredefinidodopargrafo"/>
    <w:link w:val="Ttulo1"/>
    <w:uiPriority w:val="9"/>
    <w:rsid w:val="00C200FD"/>
    <w:rPr>
      <w:rFonts w:asciiTheme="majorHAnsi" w:eastAsiaTheme="majorEastAsia" w:hAnsiTheme="majorHAnsi" w:cstheme="majorBidi"/>
      <w:b/>
      <w:bCs/>
      <w:color w:val="365F91" w:themeColor="accent1" w:themeShade="BF"/>
      <w:sz w:val="28"/>
      <w:szCs w:val="28"/>
      <w:lang w:eastAsia="pt-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2338</Words>
  <Characters>12626</Characters>
  <Application>Microsoft Office Word</Application>
  <DocSecurity>0</DocSecurity>
  <Lines>105</Lines>
  <Paragraphs>29</Paragraphs>
  <ScaleCrop>false</ScaleCrop>
  <Company/>
  <LinksUpToDate>false</LinksUpToDate>
  <CharactersWithSpaces>14935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Utilizador</dc:creator>
  <cp:lastModifiedBy>Utilizador</cp:lastModifiedBy>
  <cp:revision>2</cp:revision>
  <dcterms:created xsi:type="dcterms:W3CDTF">2014-03-10T19:12:00Z</dcterms:created>
  <dcterms:modified xsi:type="dcterms:W3CDTF">2014-03-10T19:18:00Z</dcterms:modified>
</cp:coreProperties>
</file>